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Министерство образования Республики Беларусь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Учреждение образования «Гомельский государственный дорожно-строительный колледж имени Ленинского комсомола Беларуси»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по производственно-технологической практике на предприятии ДРСУ-113 г. Гомеля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Гомель 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Структура организации и обеспечение управления производственным процессом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1"/>
          <w:smallCaps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mallCaps w:val="0"/>
          <w:sz w:val="28"/>
          <w:szCs w:val="28"/>
          <w:rtl w:val="0"/>
        </w:rPr>
        <w:t xml:space="preserve">Директор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1"/>
          <w:smallCaps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mallCaps w:val="0"/>
          <w:sz w:val="28"/>
          <w:szCs w:val="28"/>
          <w:rtl w:val="0"/>
        </w:rPr>
        <w:t xml:space="preserve">ДРСУ-113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mallCaps w:val="0"/>
          <w:sz w:val="28"/>
          <w:szCs w:val="28"/>
          <w:rtl w:val="0"/>
        </w:rPr>
        <w:t xml:space="preserve">Ведущий юрист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mallCaps w:val="0"/>
          <w:sz w:val="28"/>
          <w:szCs w:val="28"/>
          <w:rtl w:val="0"/>
        </w:rPr>
        <w:t xml:space="preserve">Главный бухгалтер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Бухгалтерия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mallCaps w:val="0"/>
          <w:sz w:val="28"/>
          <w:szCs w:val="28"/>
          <w:rtl w:val="0"/>
        </w:rPr>
        <w:t xml:space="preserve">Вед. специалист по кадрам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mallCaps w:val="0"/>
          <w:sz w:val="28"/>
          <w:szCs w:val="28"/>
          <w:rtl w:val="0"/>
        </w:rPr>
        <w:t xml:space="preserve">Зам. директора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АБЗ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mallCaps w:val="0"/>
          <w:sz w:val="28"/>
          <w:szCs w:val="28"/>
          <w:rtl w:val="0"/>
        </w:rPr>
        <w:t xml:space="preserve">Главный инженер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mallCaps w:val="0"/>
          <w:sz w:val="28"/>
          <w:szCs w:val="28"/>
          <w:rtl w:val="0"/>
        </w:rPr>
        <w:t xml:space="preserve">Заместитель главного инженера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mallCaps w:val="0"/>
          <w:sz w:val="28"/>
          <w:szCs w:val="28"/>
          <w:rtl w:val="0"/>
        </w:rPr>
        <w:t xml:space="preserve">ОМТС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mallCaps w:val="0"/>
          <w:sz w:val="28"/>
          <w:szCs w:val="28"/>
          <w:rtl w:val="0"/>
        </w:rPr>
        <w:t xml:space="preserve">Главный механик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smallCaps w:val="0"/>
        </w:rPr>
      </w:pPr>
      <w:r w:rsidDel="00000000" w:rsidR="00000000" w:rsidRPr="00000000">
        <w:rPr>
          <w:rFonts w:ascii="Tahoma" w:cs="Tahoma" w:eastAsia="Tahoma" w:hAnsi="Tahoma"/>
          <w:b w:val="1"/>
          <w:smallCaps w:val="0"/>
          <w:rtl w:val="0"/>
        </w:rPr>
        <w:t xml:space="preserve">ПЭО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i w:val="1"/>
          <w:smallCaps w:val="0"/>
        </w:rPr>
      </w:pPr>
      <w:r w:rsidDel="00000000" w:rsidR="00000000" w:rsidRPr="00000000">
        <w:rPr>
          <w:rFonts w:ascii="Tahoma" w:cs="Tahoma" w:eastAsia="Tahoma" w:hAnsi="Tahoma"/>
          <w:i w:val="1"/>
          <w:smallCaps w:val="0"/>
          <w:rtl w:val="0"/>
        </w:rPr>
        <w:t xml:space="preserve">Инженер по охране труда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i w:val="1"/>
          <w:smallCaps w:val="0"/>
        </w:rPr>
      </w:pPr>
      <w:r w:rsidDel="00000000" w:rsidR="00000000" w:rsidRPr="00000000">
        <w:rPr>
          <w:rFonts w:ascii="Tahoma" w:cs="Tahoma" w:eastAsia="Tahoma" w:hAnsi="Tahoma"/>
          <w:i w:val="1"/>
          <w:smallCaps w:val="0"/>
          <w:rtl w:val="0"/>
        </w:rPr>
        <w:t xml:space="preserve">Группа качества и технологии работ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i w:val="1"/>
          <w:smallCaps w:val="0"/>
        </w:rPr>
      </w:pPr>
      <w:r w:rsidDel="00000000" w:rsidR="00000000" w:rsidRPr="00000000">
        <w:rPr>
          <w:rFonts w:ascii="Tahoma" w:cs="Tahoma" w:eastAsia="Tahoma" w:hAnsi="Tahoma"/>
          <w:i w:val="1"/>
          <w:smallCaps w:val="0"/>
          <w:rtl w:val="0"/>
        </w:rPr>
        <w:t xml:space="preserve">Линейный персонал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Ведущий инженер энергетик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Старший диспетчер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Центральный  склад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Склад ГСМ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Столовая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РМУ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Колонна автомобильная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Механики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Начальник Гаража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Cambria" w:cs="Cambria" w:eastAsia="Cambria" w:hAnsi="Cambria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Перспектива на ближайшие годы: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долговременных хозяйственных договоров;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допускать снижение объемов СМР, сохранять и организовывать новые рабочие места;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постоянно работать над увеличением прибыли;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снижать издержки строительно-монтажных работ и подсобного производства;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своевременное обеспечение авансового финансирования прибылью, работай, заработной платой.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Характеристика производственно-хозяйственной деятельности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Деятельностью организации является выпуск асфальтобетонных смесей, бетона, цементно-песчаных растворов, песко-цементных смесей, а также выполнение текущего ремонта, содержание автомобильных дорог и прочие работы.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 Вид выпускаемой продукции, выполняемые работы, производственный план на текущий год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Продукция, выпускаемая на асфальтобетонном заводе (АБЗ), имеет следующее марки: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Асфальтобетон ЩМБг;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Асфальтобетон ЩМВг;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Асфальтобетон Г;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Асфальтобетон ЩКПг;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Асфальтобетон ЩМПг;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Асфальтобетон ЩМСц;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Асфальтобетон на кубовидном щебне ЩМБ;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Асфальтобетон на модифицированном ЩМСц;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битуме с добавкой ПАВ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Асфальтобетон на модифицированном Б;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битуме с добавкой ПАВ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Асфальтобетон на модифицированном СОМСх;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битуме с добавкой ПАВ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Модифицированный битум;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Бетон В-15;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Бетон В-20;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Бетон В-25;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Бетон В-30;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Бетон В-35;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Цементно-песчаный раствор М-200;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Песко-цементная смесь.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Производственный план на текущий год составляет 49 130,0 млн.р.: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Текущий ремонт автомобильных дорог – 2 900 млн.р.;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автомобильных дорог - 9 500 млн.р.;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Прочие – 36 730 млн.р.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 прочим относятся сторонние организации, которые заказывают выполнение определенных видов работ по благоустройству различных объектов.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3. Производственные подразделения, участвующие в производственном процессе. Уровень технической оснащенности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Перечень технической оснащенности предприятия, участвующих в процессе работ: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участок « Текущий ремонт и содержание автодорог, обслуживаемых ДРСУ»;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участок «Строительство и капитальный ремонт автодорог и сооружений»;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участок «Подрядные работы и подготовка производства»;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участок «Асфальтобетонный завод»;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Инженер по организации и безопасности движения;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Инженер по охране труда;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Лаборатория;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Планово-производственный отдел;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Сектор экономики, труда и заработной платы;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 главного механика;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 бухгалтерского учета;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Сектор правовой и организационно кадровой работы;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Зав. складом.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4. Обеспечение производственного процесса материалами и готовыми изделиями, условия хранения и контроль качества материалов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Доставка материала осуществляется железно – дорожным транспортом и автомобилями. Основные поставки продукции осуществляется с завода Глушкевичи Брестской области. Отсев поставляется с завода Микашевичи Брестской области. Поставка материала на асфальтобетонный завод зачастую осуществляется железно-дорожным транспортом.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Хранение материала производится на открытых промышленных складах. Модифицированный битум хранится в цистернах, к которым подведен подогрев, чтобы поддерживать постоянную температуру битума. Температура регулируется автоматически, при помощи компрессорных насосов. За этим следят варщики битума.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Контроль качества материалов осуществляется в производственной лаборатории на АБЗ, а также обеспечивает своевременное выявление несоответствий, причин их возникновения и принятие мер по их устранению и предупреждению.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Операционный контроль осуществляют производители работ, мастера и прорабы, персонал лаборатории и служба ОТ и КР, а также специалисты, занимающиеся контролем отдельных видов работ в соответствии со схемами операционного контроля на выполнение соответствующего вида работ и входящих в состав технологических карт или документальных процессов. Схемы рабочих контролей являются основным рабочим документом контроля качества работ для прорабов, мастеров и строительной лаборатории.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Ответственность за операционный контроль и оформление документов контроля качества несет в ГДРСУ – 113 главный инженер. На него возлагается: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операционного контроля качества на объектах;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контрольно- измерительными инструментами и необходимой документацией;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Обучение линейных ИТР осуществлению операционного контроля.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5. Наличие календарного плана работ. Принятые способы производства работ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Участок 1 «Текущий ремонт и содержание автомобильных дорог, обслуживаемых ДРСУ – 113» занимается содержанием и обслуживанием дорог. Содержание и обслуживание производится согласно технологическим картам и сроков строительства не имеет. Объем работ, как правило, небольшой. Составляется смета на определенную сумму под объемы выполняемых работ. Перевозка дорожных рабочих с их рабочим инструментом на объект осуществляется машиной «Газель». Численность работающих дорожных рабочих на участке на сегодняшний день составляет 22 человека. Допуск дорожных рабочих к объекту проходит после проведения вводного инструктажа по ТБ и ОТ, противопожарному минимуму, экологии на рабочем месте и выдачи средств индивидуальной защиты. Перед тем как преступить к работе мастер проводит первичный инструктаж на рабочем месте и регистрирует в журнале регистрации инструктажей, в котором дорожные рабочие должны отметить, что ознакомлены с ТБ. Первичный инструктаж проводится мастером дорожным ежедневно перед началом работы.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Мастер дорожный выдает наряд – задание дорожным рабочим, в котором отражено выполняемая работа по данному объекту и в конце рабочего дня проверяет качество выполненной работы и подсчитываются объемы выполненной работы. В конце месяца для начисления заработной платы дорожным рабочим мастер дорожный составляет наряд по выполненным объемам работ за месяц, а также табель учета использования рабочего времени и подсчета заработка. Все это передается в отдел труда и заработной платы для проверки документации составленной дорожным мастером, затем передается в бухгалтерию для окончательного расчета заработной платы.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производственный продукция качество изделие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6. Экономические показатели производственных подразделений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6.1 Анализ технико-экономических показателей работы в ДРСУ-113</w:t>
      </w:r>
    </w:p>
    <w:tbl>
      <w:tblPr>
        <w:tblStyle w:val="Table1"/>
        <w:tblW w:w="9039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4"/>
        <w:gridCol w:w="3233"/>
        <w:gridCol w:w="1554.0000000000005"/>
        <w:gridCol w:w="1351.9999999999993"/>
        <w:gridCol w:w="1352.0000000000005"/>
        <w:gridCol w:w="1013.9999999999998"/>
        <w:tblGridChange w:id="0">
          <w:tblGrid>
            <w:gridCol w:w="534"/>
            <w:gridCol w:w="3233"/>
            <w:gridCol w:w="1554.0000000000005"/>
            <w:gridCol w:w="1351.9999999999993"/>
            <w:gridCol w:w="1352.0000000000005"/>
            <w:gridCol w:w="1013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Наименование показателей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Единица измерения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2009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2010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Темпы роста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Объем выполняемых работ соб. силами в ст. в. в т. ч. СМР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тыс. руб.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32282065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27274475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43142180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35423725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134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130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Объем вып. работ в нат. выражении: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строительство и реконструкция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км.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0,55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0,84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капитальный ремонт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км.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10,903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текущий ремонт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км.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32,552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13,838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Численность работающих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чел.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222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236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Численность рабочих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чел.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165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Выработка на одного работающего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т. р.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122858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150101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122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Выработка на одного рабочего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т. р.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165300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202421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122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Фонд зарплаты работающих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3851300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5456800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142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Фонд зарплаты рабочих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2678800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3811500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142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Расход ФЗП на ед. вып. работ раб– щих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0,141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0,154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Расход ФЗП на ед. вып. работ рабочих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0,098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0,108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110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Средняя з/п 1 раб– щего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1418506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1900141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134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Средняя з/п 1 рабочего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1316364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1779000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135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Соот-ния темпов роста сред. з/п к темпам роста выработки раб– щего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Соот-ния темпов роста сред. з/п к темпам роста выработки рабочего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Себестоимость вып. работ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22478162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32327079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143,8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Затраты на 1 руб. вып. объема работ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0,824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0,913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110,7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Стоим. основных прозв. фондов (без дорог)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20896288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25242739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121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Степень износа осн. произв. фондов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42,3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44,1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Фондоотдача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0,766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0,713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Фондовооруженность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94127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106961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114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Материалоемкость продукции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0,56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Балансовая прибыль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тыс.руб.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5125000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2971000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Уровень рентаб-сти по балансовой прибыли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23,4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34,3</w:t>
            </w:r>
          </w:p>
        </w:tc>
      </w:tr>
    </w:tbl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7. Техника безопасности</w:t>
      </w:r>
    </w:p>
    <w:p w:rsidR="00000000" w:rsidDel="00000000" w:rsidP="00000000" w:rsidRDefault="00000000" w:rsidRPr="00000000" w14:paraId="000001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Работник обязан соблюдать нормы, правила и инструкции по охране труда, пожарной безопасности и правила внутреннего трудового распорядка.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Перед началом работ следует проверить исправность оборудования, инструмента; наличие и исправность защитных ограждений опасных мест механизмов, лестниц, настилов и другое.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рабочем месте следует пользоваться оборудованием и инвентарем, необходимым для хранения инструмента и приспособлений, а также стеллажами и площадками для складирования материалов и заготовок, готовых изделий и отходов производства.</w:t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 время работы необходимо правильно применять коллективные и индивидуальные средства защиты, предохраняющие работающего от разных вредных и опасных воздействий.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Приступая к работе, надо застегнуть и заправить рабочую одежду так, чтобы не было развивающихся концов; обшлага рукавов должны быть застегнуты или обхвачены резинкой, волосы убраны под головной убор.</w:t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Следует выполнять только ту работу, которая поручена мастером, при условии соблюдения безопасных способов ее выполнения; при выполнении работы использовать способы и приемы, указанные мастером.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Запрещается выполнять распоряжения, если их выполнение противоречит требованиям техники безопасности или может привести к несчастному случаю.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передвижении по территории необходимо соблюдать следующие требования: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Ходить по пешеходным дорожкам, тротуарам;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Переходить дорогу только в установленных местах;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Передвигаться навстречу транспортному потоку машин.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8. Индивидуальное задание</w:t>
      </w:r>
    </w:p>
    <w:p w:rsidR="00000000" w:rsidDel="00000000" w:rsidP="00000000" w:rsidRDefault="00000000" w:rsidRPr="00000000" w14:paraId="000001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Решение вопросов придорожного сервиса</w:t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Придорожный сервис представляет собой совокупность услуг, предлагаемых для тех, кто находится в пути. Автозаправочные станции, кафе, гостиницы, - все это так называемый придорожный сервис.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Более 1,6 тыс. объектов придорожного сервиса действует в Беларуси. Но чтобы они все стали рентабельными, необходимо наличие ряда условий, которых в Беларуси пока нет.</w:t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 данным департамента "Белавтодор" Министерства транспорта и коммуникаций, вдоль дорог республики находится 417 автозаправочных станций, 79 пунктов постоя, 34 мойки, 138 стоянок автотранспорта, 106 станций технического обслуживания, 448 предприятий торговли и 449 пунктов питания. Поэтому в департаменте полагают, что придорожный сервис развивается в необходимых темпах, и рынок насыщается этими услугами в достаточной степени.</w:t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настоящий момент к объектам придорожного сервиса предъявляются очень высокие требования. В первую очередь они касаются следующих условий размещения объектов: объект не должен стоять на дороге или на обочине, должен размещаться не ближе 50 метров от кромки проезжей части, а на дорогах первой категории - размещаться с двух сторон. На автомобильных дорогах с разделительной полосой предусматривается обязательное освещение участка автомобильной дороги, прилегающего к объекту, в пределах переходно-скоростных дорог. Кроме того, к объекту предъявляются и эстетические требования. Например, если это объект торговли или общепита, то он должен быть хорошо оформлен и обеспечен всеми удобствами.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Значительным преимуществом при строительстве объектов придорожного сервиса в департаменте называют упрощение процедуры при отводе земли. Также определены и льготы для желающих открыть объекты такого сервиса: освобождение от возмещения сельскохозяйственных и лесохозяйственных потерь при выделении земельного участка, возможность предоставления льготных кредитов, а также налоговые льготы.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Что касается возможных иностранных инвестиций в данную сферу, то зарубежный бизнес сюда не слишком спешит, говорят в "Белавтодоре". При оценке бизнес-проекта по строительству (созданию) объекта придорожного сервиса наиболее определяющим фактором является интенсивность движения транспортных средств. По мировым методикам рентабельным бизнес считается, когда интенсивность движения составляет более 7 тыс. автомобилей в сутки. В Беларуси такой уровень отмечен только на трассе М1. Вторым фактором является менталитет белорусских граждан, которые не привыкли пользоваться услугами придорожного сервиса.</w:t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 все же сеть объектов придорожного сервиса расширяется. Кроме 15 ранее запланированных, почти 50 объектов придорожного сервиса планируется дополнительно организовать в Витебской области. Мероприятия были разработаны в дополнение к генеральной схеме развития сервиса на республиканских автомобильных дорогах и утверждены Министерством транспорта и коммуникаций согласно госпрограмме "Дороги Беларуси".</w:t>
      </w:r>
    </w:p>
    <w:p w:rsidR="00000000" w:rsidDel="00000000" w:rsidP="00000000" w:rsidRDefault="00000000" w:rsidRPr="00000000" w14:paraId="000001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привлечения инвесторов, в том числе зарубежных разворачивается широкая рекламно-информационная кампания с участием как местных органов власти, так и ведомств и организаций, заинтересованных в развитии такого вида услуг. Заранее планируются работы по отводу и подготовке земельных участков для строительства объектов. Кроме того, предполагается проведение круглых столов во всех районах области по вопросам развития придорожного сервиса с привлечением потенциальных инвесторов. Потенциал области в сфере придорожного сервиса продвигают также с помощью ресурсов сети Интернет и на организуемых в регионе презентациях, выставках, туристических конкурсах и конференциях.</w:t>
      </w:r>
    </w:p>
    <w:p w:rsidR="00000000" w:rsidDel="00000000" w:rsidP="00000000" w:rsidRDefault="00000000" w:rsidRPr="00000000" w14:paraId="000001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Кроме того, разрабатываются модельные бизнес-планы создания объектов придорожного сервиса для потенциальных инвесторов.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данное время придорожный сервис Беларуси оставляет желать лучшего: потребность в автозаправочных станциях покрыта на 60%, в объектах, осуществляемых продажу продуктов питания – на 55%, в охраняемых стоянках – на 50%.</w:t>
      </w:r>
    </w:p>
    <w:p w:rsidR="00000000" w:rsidDel="00000000" w:rsidP="00000000" w:rsidRDefault="00000000" w:rsidRPr="00000000" w14:paraId="000001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Имеет ли смысл развитие придорожного сервиса в Беларуси? Начнем с того, что Беларусь – страна, привлекающая туристов, в том числе, иностранных, своей естественной природой: необычайно красивыми озерами, уникальными лесами, своеобразием животного мира. Наша страна представляет определенный интерес для иностранных граждан, уставших от высокотехнологичных курортов и стремящихся к естественной красоте.</w:t>
      </w:r>
    </w:p>
    <w:p w:rsidR="00000000" w:rsidDel="00000000" w:rsidP="00000000" w:rsidRDefault="00000000" w:rsidRPr="00000000" w14:paraId="000001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Имеет ли это значение для нас? Безусловно: туристы готовы платить, а данный факт – залог успешного развития бизнеса. Проблема, главным образом заключается, в отсутствии белорусского придорожного сервиса как такового.</w:t>
      </w:r>
    </w:p>
    <w:p w:rsidR="00000000" w:rsidDel="00000000" w:rsidP="00000000" w:rsidRDefault="00000000" w:rsidRPr="00000000" w14:paraId="000001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Нормативная база</w:t>
      </w:r>
    </w:p>
    <w:p w:rsidR="00000000" w:rsidDel="00000000" w:rsidP="00000000" w:rsidRDefault="00000000" w:rsidRPr="00000000" w14:paraId="000001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 основным нормативным документам, регулирующим вопросы организации придорожного сервиса, можно отнести:</w:t>
      </w:r>
    </w:p>
    <w:p w:rsidR="00000000" w:rsidDel="00000000" w:rsidP="00000000" w:rsidRDefault="00000000" w:rsidRPr="00000000" w14:paraId="000001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Закон Республики Беларусь от 2 декабря 1994 г. № 3434-XII «Об автомобильных дорогах и дорожной деятельности».</w:t>
      </w:r>
    </w:p>
    <w:p w:rsidR="00000000" w:rsidDel="00000000" w:rsidP="00000000" w:rsidRDefault="00000000" w:rsidRPr="00000000" w14:paraId="000001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«Положение о порядке размещения, архитектурного оформления и оборудования объектов придорожного сервиса на автомобильных дорогах общего пользования», утвержденное Постановлением Совета Министров Республики Беларусь от 10 сентября 2008 г. № 1326 «О некоторых вопросах размещения объектов придорожного сервиса».</w:t>
      </w:r>
    </w:p>
    <w:p w:rsidR="00000000" w:rsidDel="00000000" w:rsidP="00000000" w:rsidRDefault="00000000" w:rsidRPr="00000000" w14:paraId="000001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Указ Президента Республики Беларусь от 15 мая 2008 г № 270 «О мерах по развитию придорожного сервиса».</w:t>
      </w:r>
    </w:p>
    <w:p w:rsidR="00000000" w:rsidDel="00000000" w:rsidP="00000000" w:rsidRDefault="00000000" w:rsidRPr="00000000" w14:paraId="000001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«Генеральная схема развития придорожного сервиса на республиканских автомобильных дорогах до 2010 года», утвержденная постановлением Министерства транспорта и коммуникаций Республики Беларусь от 10 октября 2008 г. №104.</w:t>
      </w:r>
    </w:p>
    <w:p w:rsidR="00000000" w:rsidDel="00000000" w:rsidP="00000000" w:rsidRDefault="00000000" w:rsidRPr="00000000" w14:paraId="000001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1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Основными приоритетами развития придорожного сервиса в Беларуси являются:</w:t>
      </w:r>
    </w:p>
    <w:p w:rsidR="00000000" w:rsidDel="00000000" w:rsidP="00000000" w:rsidRDefault="00000000" w:rsidRPr="00000000" w14:paraId="000001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Стабильность и постоянство существующей нормативно-правовой базы, которая создает условия для эффективной работы местных исполнительных и распорядительных органов и организаций Государственного комитета по имуществу при выделении земельных участков для строительства объектов придорожного сервиса, так как только прозрачность и неизменность правил осуществления хозяйственной деятельности предприятий и предсказуемость ситуации на рынке оказания услуг придорожного сервиса, позволят привлечь дополнительное количество инвесторов в эту сферу.</w:t>
      </w:r>
    </w:p>
    <w:p w:rsidR="00000000" w:rsidDel="00000000" w:rsidP="00000000" w:rsidRDefault="00000000" w:rsidRPr="00000000" w14:paraId="000001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Повышение качества работы с потенциальными инвесторами специалистов всех государственных организаций, задействованных в процедуре выделения земельных участков.</w:t>
      </w:r>
    </w:p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Привлечение в сферу придорожного сервиса иностранных компаний с их опытом и высочайшими стандартами обслуживания в целях создания конкуренции, и как результат повышению качества оказываемых услуг.</w:t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Информирование автоперевозчиков и других пользователей автодорог о существующей сервисной инфраструктуре, а также разъяснения и рекомендации по планированию размещения новых объектов придорожного сервиса.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Размещено на Allbest.ru</w:t>
      </w:r>
    </w:p>
    <w:sectPr>
      <w:headerReference r:id="rId6" w:type="default"/>
      <w:footerReference r:id="rId7" w:type="default"/>
      <w:pgSz w:h="16838" w:w="11906"/>
      <w:pgMar w:bottom="1134" w:top="1134" w:left="1701" w:right="850" w:header="0" w:footer="720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Cambria"/>
  <w:font w:name="Verdana"/>
  <w:font w:name="Courier New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firstLine="709"/>
      <w:jc w:val="left"/>
      <w:rPr>
        <w:rFonts w:ascii="Times New Roman" w:cs="Times New Roman" w:eastAsia="Times New Roman" w:hAnsi="Times New Roman"/>
        <w:smallCaps w:val="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∙"/>
      <w:lvlJc w:val="left"/>
      <w:pPr>
        <w:ind w:left="1080" w:hanging="10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800" w:hanging="18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520" w:hanging="25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240" w:hanging="32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960" w:hanging="39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680" w:hanging="46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400" w:hanging="54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120" w:hanging="61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840" w:hanging="68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∙"/>
      <w:lvlJc w:val="left"/>
      <w:pPr>
        <w:ind w:left="1440" w:hanging="14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60" w:hanging="21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600" w:hanging="36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20" w:hanging="43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60" w:hanging="57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80" w:hanging="648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72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∙"/>
      <w:lvlJc w:val="left"/>
      <w:pPr>
        <w:ind w:left="720" w:hanging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∙"/>
      <w:lvlJc w:val="left"/>
      <w:pPr>
        <w:ind w:left="1080" w:hanging="10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800" w:hanging="18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520" w:hanging="25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240" w:hanging="32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960" w:hanging="39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680" w:hanging="46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400" w:hanging="54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120" w:hanging="61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840" w:hanging="68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∙"/>
      <w:lvlJc w:val="left"/>
      <w:pPr>
        <w:ind w:left="1080" w:hanging="10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800" w:hanging="18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520" w:hanging="25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240" w:hanging="32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960" w:hanging="39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680" w:hanging="46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400" w:hanging="54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120" w:hanging="61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840" w:hanging="68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∙"/>
      <w:lvlJc w:val="left"/>
      <w:pPr>
        <w:ind w:left="825" w:hanging="825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545" w:hanging="1545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65" w:hanging="2265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985" w:hanging="2985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705" w:hanging="3705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25" w:hanging="4425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145" w:hanging="5145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865" w:hanging="5865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85" w:hanging="6585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