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НЕГОСУДАРСТВЕННОЕ ОБРАЗОВАТЕЛЬНОЕ УЧРЕЖДЕНИЕ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«САМАРСКИЙ ИНСТИТУТ - ВЫСШАЯ ШКОЛА ПРИВАТИЗАЦИИ И ПРЕДПРИНИМАТЕЛЬСТВА»</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Специальность: Экономика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прохождении учебной практики 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ФГУП «Почта России»</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Студентка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Пятого курса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Иванова Ольга Ивановна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960"/>
          <w:tab w:val="left" w:pos="8610"/>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Сидорова Наталья Николаевна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Самара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Введение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Учебная практика является важнейшей частью учебного процесса и одной из важнейших составляющих профессиональной подготовки студента. Практика является компонентом учебного процесса, направленного на закрепление теоретических знаний, полученных в период обучения, приобретение и совершенствование практических навыков и умений по избранной специальности. </w:t>
      </w:r>
      <w:r w:rsidDel="00000000" w:rsidR="00000000" w:rsidRPr="00000000">
        <w:rPr>
          <w:rFonts w:ascii="Times New Roman" w:cs="Times New Roman" w:eastAsia="Times New Roman" w:hAnsi="Times New Roman"/>
          <w:smallCaps w:val="0"/>
          <w:color w:val="ffffff"/>
          <w:sz w:val="28"/>
          <w:szCs w:val="28"/>
          <w:shd w:fill="auto" w:val="clear"/>
          <w:rtl w:val="0"/>
        </w:rPr>
        <w:t xml:space="preserve">рентабельность финансовый устав ликвидность</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период с 05 мая по 18 мая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mallCaps w:val="0"/>
          <w:sz w:val="28"/>
          <w:szCs w:val="28"/>
          <w:rtl w:val="0"/>
        </w:rPr>
        <w:t xml:space="preserve"> года, была пройдена учебная практика в ФГУП «Почта России», видом деятельности которого является Связь, почтовая и курьерская деятельность, деятельность национальной почты (Основной вид деятельности).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целями учебной практики являются:</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и аналитическая обработка материала;</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как экономического, так и общего кругозора студента;</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приобретенных профессиональных навыков;</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организаторских и деловых качеств студента.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Задачи:</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у студентов комплексного системного экономического мышления;</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освоение работы по поиску разнообразных источников информации;</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навыков расчета наиболее важных экономических показателей;</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навыков проведения экономического и финансового анализа</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практических навыков самостоятельной работы, навыков самостоятельного формулирования выводов, полученных по результатам собственных расчетов.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Информационной базой отчёта по практике является Устав ФГУП «Почта России», бухгалтерский баланс предприятия на 31 декабря 201</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года, отчет о финансовых результатах за Январь-Декабрь 201</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года, и другая нормативно-правовая документация.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ФГУП «Почта России»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Общая характеристика ФГУП «Почта России»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Федеральное государственное унитарное предприятие «Почта России» создано распоряжением Правительства от 5 сентября 2002 года. 13 февраля 2003 года проведена государственная регистрация предприятия, принят Устав. На базе разрозненных управлений почтовой связи создана сеть филиалов ФГУП «Почта России», внедрена принципиально новая система управления региональными структурами почтовой связи на основе единых учетных принципов бухгалтерского, налогового и управленческого учетов. Сегодня Почта России включает в себя 86 филиалов, около 42 000 объектов почтовой связи, оказывающих услуги почтовой связи на всей территории Российской Федерации, включая все города и сельские населенные пункты. Один из самых больших трудовых коллективов почтовых работников – почти 415 000 сотрудников. Ежегодно почтовые работники России принимают, обрабатывают и доставляют более 1,7 млрд. писем, 54 млн. посылок и почти 185 млн. денежных переводов.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Всего Почта предлагает своим клиентам свыше 80 почтовых, финансовых, инфокоммуникационных и прочих услуг. Через почтовые отделения осуществляется доставка пенсий и пособий, а также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железнодорожные, авиа- и театральные билеты, а также товары народного потребления. Кроме того, в Пунктах коллективного доступа желающие могут выйти в Интернет, отправить и получить электронную почту, распечатать документ и т.д.</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 результате проведенных структурных изменений предприятие стало привлекательным как для физических лиц, которые теперь могут воспользоваться широким спектром разнообразных услуг в почтовых отделениях, так и для корпоративных клиентов, которым предлагаются сетевые сервисы Почты. В целях повышения качества почтовых услуг ФГУП «Почта России» регулярно проводит мероприятия, направленные на оптимизацию работы сети почтовой связи, модернизирует логистические, технические и технологические схемы работы. Организуются новые магистральные автомобильные и железнодорожные маршруты, обновляется парк автомобилей и почтовых вагонов. Почта России также реализует программу создания сети автоматизированных сортировочных центров.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Почта России активно работает не только над расширением спектра услуг, оказываемых населению, но и над повышением их качества. С 2005 года на предприятии реализуется проект по разработке и внедрению системы менеджмента качества. В настоящее время уже почти половина всех филиалов Почты России получили сертификаты о соответствии требованиям международного стандарта ИСО 9001:2000 в отношении оказания почтовых (письменная корреспонденция, посылки, экспресс-почта) и финансовых (почтовые переводы, доставка пенсий, прием платежей) услуг.</w:t>
      </w:r>
      <w:r w:rsidDel="00000000" w:rsidR="00000000" w:rsidRPr="00000000">
        <w:rPr>
          <w:rFonts w:ascii="Times New Roman" w:cs="Times New Roman" w:eastAsia="Times New Roman" w:hAnsi="Times New Roman"/>
          <w:smallCaps w:val="0"/>
          <w:sz w:val="28"/>
          <w:szCs w:val="28"/>
          <w:rtl w:val="0"/>
        </w:rPr>
        <w:t xml:space="preserve"> В состав Самарского филиала Почты России входят 15 почтамтов, которые объединяют 773 объекта почтовой связи, из них 756 стационарных отделений почтовой связи, 5 передвижных и 12 пунктов почтовой связи. Почтамты и отделения почтовой связи различаются по категориям и классам. В структуре филиала 3 почтамта — 1 категории, 4 — 2 категории, 6 — 3 категории и 2 — 4 категории. Услуги почтовой связи населению и юридическим лицам предоставляют 2 отделения почтовой связи 1 класса (в Самаре), 9 — 2 класса, 110 — 3 класса, 397 — 4 класса и 243 отделений — 5 класса.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1 января 2014 года в Самарском филиале Почты России работает более 7 тыс. человек, в том числе более 2,8 тыс. почтальонов и 1,4 тыс. операторов почтовой связи.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Протяжённость почтовых маршрутов филиала составляет 35 тысяч 481 км. Автопарк филиала насчитывает около 329 автомобилей.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отделениях почтовой связи Самарской области действует 302 пункта коллективного доступа в Интернет, рассчитанных на 646 рабочих места.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количество предоставляемых филиалом услуг составляет более 80.</w:t>
      </w:r>
    </w:p>
    <w:p w:rsidR="00000000" w:rsidDel="00000000" w:rsidP="00000000" w:rsidRDefault="00000000" w:rsidRPr="00000000" w14:paraId="00000037">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Справочная информация об области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регионе по состоянию на начало 2014 года проживало 3213,3 тыс. человек, что составляет 2,2% населения России и 10,8% населения Приволжского федерального округа. По численности населения Самарская область занимает 12 место среди регионов России и 4 место среди регионов Приволжского федерального округа. Областной центр — городской округ — Самара с численностью населения 1171,7 тыс.человек.</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Самарская область является высокоурбанизированным регионом, большинство граждан Самарской области проживают в городской местности (80,3% от численности населения области). На территории Самарской области находится уникальная двухядерная Самаро-Тольяттинская агломерация, в которой проживает более 85% населения области.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Самарской области — 53,6 тыс.кв.км, что составляет 0,31% территории России. Плотность населения — 60 человек на 1 кв. км.</w:t>
      </w:r>
    </w:p>
    <w:p w:rsidR="00000000" w:rsidDel="00000000" w:rsidP="00000000" w:rsidRDefault="00000000" w:rsidRPr="00000000" w14:paraId="0000003B">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Почтовые услуги:</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письменная корреспонденция;</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посылки;</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Отправления 1 класса;</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экспресс-почта EMS Почта России;</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«Поздравление от Деда Мороза».</w:t>
      </w:r>
    </w:p>
    <w:p w:rsidR="00000000" w:rsidDel="00000000" w:rsidP="00000000" w:rsidRDefault="00000000" w:rsidRPr="00000000" w14:paraId="00000041">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Финансовые услуги:</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срочные денежные переводы «Форсаж»;</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денежные переводы «КиберДеньги»;</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международные денежные переводы «Вестерн Юнион»;</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погашение кредитов на почте;</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кредит почтовым переводом;</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оформление и выдача кредитных карт банка «Тинькофф. Кредитные системы»;</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выплата пенсий и пособий;</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приём коммунальных платежей;</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приём платежей за услуги связи, Интернет и телевидение;</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обслуживание банковских карт;</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банковские вклады на почте.</w:t>
      </w:r>
    </w:p>
    <w:p w:rsidR="00000000" w:rsidDel="00000000" w:rsidP="00000000" w:rsidRDefault="00000000" w:rsidRPr="00000000" w14:paraId="0000004D">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Услуги для населения:</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распространение печати по подписке;</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оформление миграционных уведомлений;</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«КиберПочт@»;</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пополнение и реализация транспортных и социальных карт;</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продажа железнодорожных и авиабилетов;</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продажа комплектов подключения операторов сотовой связи;</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продажа лотерей;</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реализация товаров народного потребления;</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реализация филателистической продукции — почтовые марки и конверты, подарочные наборы, продукция для коллекционеров (кляссеры, каталоги, специальная литература) и др.</w:t>
      </w:r>
    </w:p>
    <w:p w:rsidR="00000000" w:rsidDel="00000000" w:rsidP="00000000" w:rsidRDefault="00000000" w:rsidRPr="00000000" w14:paraId="00000057">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Решения для бизнеса:</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рекламные услуги — предпочтовая обработка, размещение рекламных стоек и печатной рекламы в отделениях почтовой связи; рассылка рекламно-информационных материалов; прямая почтовая рассылка, безадресная почтовая рассылка;</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рассылка рекламно-информационных материалов подписчикам периодических изданий (ОВПО).</w:t>
      </w:r>
    </w:p>
    <w:p w:rsidR="00000000" w:rsidDel="00000000" w:rsidP="00000000" w:rsidRDefault="00000000" w:rsidRPr="00000000" w14:paraId="0000005A">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Проекты</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проектом ФГУП «Почта России» по оптимизации и реконструкции объектов почтовой связи в Самарской области за 2013 год отремонтировано 86 отделений почтовой связи (в том числе, 79 в муниципальной собственности). В 2014 году планируется ремонт еще 31 отделение.</w:t>
      </w:r>
    </w:p>
    <w:p w:rsidR="00000000" w:rsidDel="00000000" w:rsidP="00000000" w:rsidRDefault="00000000" w:rsidRPr="00000000" w14:paraId="0000005C">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Наши специалисты</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филиале работает порядка 7094 сотрудников, из них 2928 — почтальонов, 1517 — операторов. 93 сотрудника имеют звание «Мастер связи». Самарские почтовики неоднократно удостаивались ведомственных, муниципальных, государственных и общественных наград, в частности почетных грамот и благодарностей УФПС Самарской области и ФГУП «Почта России», наград органов государственной власти, муниципальных властей, профсоюзных структур и др.</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Около 1 000 сотрудников филиала имеют высшее образование, 3 000 человек – средне-специальное.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по специальности «Почтовая связь» в Самарской области организовано в Колледже связи ПГУТИ и Самарском техникуме сервиса производственного оборудования, по специальности «Информационные системы и технологии» в Поволжском государственном университете телекоммуникаций и информатики (ПГУТИ).</w:t>
      </w:r>
    </w:p>
    <w:p w:rsidR="00000000" w:rsidDel="00000000" w:rsidP="00000000" w:rsidRDefault="00000000" w:rsidRPr="00000000" w14:paraId="00000060">
      <w:pPr>
        <w:pStyle w:val="Heading4"/>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i w:val="0"/>
          <w:smallCaps w:val="0"/>
          <w:color w:val="000000"/>
          <w:sz w:val="28"/>
          <w:szCs w:val="28"/>
        </w:rPr>
      </w:pPr>
      <w:r w:rsidDel="00000000" w:rsidR="00000000" w:rsidRPr="00000000">
        <w:rPr>
          <w:rFonts w:ascii="Times New Roman" w:cs="Times New Roman" w:eastAsia="Times New Roman" w:hAnsi="Times New Roman"/>
          <w:b w:val="0"/>
          <w:i w:val="0"/>
          <w:smallCaps w:val="0"/>
          <w:color w:val="000000"/>
          <w:sz w:val="28"/>
          <w:szCs w:val="28"/>
          <w:rtl w:val="0"/>
        </w:rPr>
        <w:t xml:space="preserve">Опыт взаимодействия с региональными органами власти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январе 2014 года было подписано Соглашение о взаимодействии по развитию почтовой связи в регионе между ФГУП «Почта России» и Правительством Самарской области.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Было также подписано Соглашение о намерениях между муниципальным образованием городской округ Самара и федеральным государственным унитарным предприятием «Почта России» по обеспечению доступности государственных и муниципальных услуг на территории г.о. Самара.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Анализ финансового состояния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Сущность, цели и значение анализа финансового состояния</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анализ - это изучение основных показателей финансового состояния и финансовых результатов деятельности организации с целью принятия заинтересованными лицами управленческих, инвестиционных и прочих решений.</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помощью финансового анализа создается возможность оценки:</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Имущественного состояния организации;</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Платежеспособности;</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Деловой активности;</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Финансовой устойчивости;</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Потребностей в финансовых источниках финансирования;</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Путей увеличения собственного капитала;</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Размеров привлечения заемных средств;</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Степень банкротства организации;</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Способности организации в результате своей текущей деятельности обеспечить превышение поступлений денежных средств над платежами. Задачами финансового анализа является:</w:t>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Выявление рентабельности и финансовой устойчивости;</w:t>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фиктивности использования финансовых ресурсов;</w:t>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Установление положений хозяйствующего субъекта на финансовом рынке и количественное измерение его конкурентоспособности;</w:t>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степени выполнения плановых финансовых мероприятий;</w:t>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мер разработанных для ликвидации выявленных недостатков и повышение отдачи финансовых ресурсов.</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анализ должен быть оперативным, конкретным, систематическим и объективным.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Методы финансового анализа</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проведения анализа используются методы, которые можно применять на всех предприятиях без учета отраслевой принадлежности организации управления и формы собственности. Все они имеют количественную и качественную стороны осуществления анализа.</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Сравнительный метод. Основывается на сравнении фактических достижений конкретных показателей с плановыми, с данными прошлого периода (отдельные показатели сравниваются со средне-отраслевыми). Целью этого анализа является выявление отклонений фактических данных от принятых заданий и результатов.</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Подразделяется на горизонтальный и вертикальный .</w:t>
      </w:r>
    </w:p>
    <w:p w:rsidR="00000000" w:rsidDel="00000000" w:rsidP="00000000" w:rsidRDefault="00000000" w:rsidRPr="00000000" w14:paraId="00000081">
      <w:pPr>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Горизонтальный анализ – это сравнение каждой позиции отчетности с предыдущим периодом. Его целью является определение абсолютных и относительных изменений отчетности за определенный период и их оценка. Данный анализ заключается в построении одной или нескольких аналитических таблиц, в которых абсолютные показатели дополняются относительными, характеризующие темп роста или снижение. Как правило берутся базисные темпы роста за ряд лет.</w:t>
      </w:r>
    </w:p>
    <w:p w:rsidR="00000000" w:rsidDel="00000000" w:rsidP="00000000" w:rsidRDefault="00000000" w:rsidRPr="00000000" w14:paraId="00000082">
      <w:pPr>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Вертикальный анализ. С его помощью оценивается финансовая отчетность с точки зрения рациональной структуры баланса, эффективности использования имущества или капитала предприятия. Эти данные в последующем используются для прогноза структурных изменений активов и источников их покрытия.</w:t>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Многофакторный метод. Заключается в установлении влияния отдельных факторов на изменение анализируемых параметров. С этой целью используется метод ценных подстановок, которые базируются на исключительное воздействие всех факторов на величину анализируемого показателя кроме выбранного.</w:t>
      </w:r>
    </w:p>
    <w:p w:rsidR="00000000" w:rsidDel="00000000" w:rsidP="00000000" w:rsidRDefault="00000000" w:rsidRPr="00000000" w14:paraId="00000084">
      <w:pPr>
        <w:numPr>
          <w:ilvl w:val="0"/>
          <w:numId w:val="11"/>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 коэффициентов. Предполагает расчет числовых отношений между отдельными позициями отчета или позициями разных форм отчетности определяющие взаимосвязи показателей.</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финансового состояния предполагает следующие этапы:</w:t>
      </w:r>
    </w:p>
    <w:p w:rsidR="00000000" w:rsidDel="00000000" w:rsidP="00000000" w:rsidRDefault="00000000" w:rsidRPr="00000000" w14:paraId="00000086">
      <w:pPr>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имущественного положения: вертикальный, горизонтальный, анализ качественных изменений в имущественном положении;</w:t>
      </w:r>
    </w:p>
    <w:p w:rsidR="00000000" w:rsidDel="00000000" w:rsidP="00000000" w:rsidRDefault="00000000" w:rsidRPr="00000000" w14:paraId="00000087">
      <w:pPr>
        <w:numPr>
          <w:ilvl w:val="0"/>
          <w:numId w:val="13"/>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финансового положения: ликвидность, платежеспособность, финансовая устойчивость;</w:t>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рентабельности, оценка деловой активности.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Анализ ликвидности организации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Сущность и значения анализа ликвидности организации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Ликвидность означает способность ценностей легко превращаться в ликвидные средства или деньги, при этом идеальным является условие когда процесс превращения ценностей в ликвидные средства происходит быстро и без потери стоимости.</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ликвидности баланса заключается в сравнении средств по активу, сгруппированных по степени ликвидности с обязательствами по пассиву, сгруппированными по группам, по срокам их погашения и расположения в порядке возрастания сроков.</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Активы сгруппированы по степени ликвидности: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А1 - наиболее ликвидные активы (денежные средства и краткосрочные финансовые вложения);</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 – быстрореализуемые активы (дебиторская задолженность, прочие оборотные активы);</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А3 – медленно реализуемые активы (запасы, НДС, незавершенное производство);</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А4 – труднореализуемые активы (имущество предназначенное для текущей хозяйственной деятельности, внеоборотные активы).</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П1 – наиболее срочные обязательства (кредиторская задолженность);</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П2 – краткосрочные пассивы (краткосрочные кредиты банков, расчеты по дивидендам, прочие краткосрочные обязательства);</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П3 – долгосрочные обязательства (долгосрочные кредиты, займы, доходы будущих периодов);</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П4 – постоянные пассивы.</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 = строка баланса 1240 + строка баланса 1250</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 = строка баланса 1230</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А3 = строка баланса1210 + строка баланса 1220 + строка баланса 1260</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А4 = строка баланса 1100</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П1 = строка баланса 1520</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П2 = строка баланса 1510 + строка баланса 1540 + строка баланса 1550</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П3 = строка баланса 1400</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П4 = строка баланса 1300 + строка баланса 1530</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Абсолютная ликвидность:</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А1&gt; либо = П1</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А2&gt; либо = П2</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А3 &gt; либо = П3</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А4&lt; либо = П4</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одно несовпадение -зона допустимого риска;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Два несовпадения - зона критического риска;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Три несовпадения - катастрофический риск.</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Анализ финансового состояния</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УФПС ПК – филиала ФГУП «Почта России» Кинельского почтамта</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Оценка ликвидности и платежеспособности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Цель данного анализа – определить способность предприятия в течение года оплатить свои краткосрочные обязательства. Важное значение для расчетов ряда аналитических коэффициентов имеет показатель величины собственных оборотных средств, который характеризует ту часть собственного капитала предприятия, которая является источником покрытия текущих активов.</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Анализируя актив баланса видно, что общая величина активов предприятия в отчетном периоде, по сравнению с базовым периодом, увеличилась. По сравнению с концом</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2011 г. валюта баланса увеличилась на 50,91%, что в абсолютном выражении составило 26 854 671руб. Доля оборотных активов на конец анализируемого периода также увеличилась, что является позитивным моментом. Внеоборотные активы за 3 года не изменились и составили 4 168 176 руб.</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Как видно из таблицы, на конец отчетного периода наибольший удельный вес в структуре совокупных активов приходится на оборотные активы (94,46%), что говорит о достаточно мобильной структуре активов, способствующей ускорению оборачиваемости средств предприятия. Величина дебиторской задолженности покупателей и заказчиков на конец</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уменьшилась. Кроме того, рассматривая дебиторскую задолженность Уссурийского почтамта, следует отметить, что предприятие на конец 2013 года имеет пассивное сальдо (дебиторская задолженность меньше кредиторской). Со стороны пассивов, увеличение валюты баланса в наибольшей степени произошло за счет роста статьи «Кредиторская задолженность».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по сравнению с</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2011 г. рост этой статьи составил 3 074 067 руб. (в процентном соотношении ее рост составил 19,6%). Все это говорит о неплохой финансовой устойчивости предприятия и, возможно, о будущем увеличении оборотов предприятия. Таким образом, изменение за анализируемый период структуры пассивов следует признать в подавляющей части позитивным.</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 зависимости от того, какой источник средств используется для покрытия запасов и затрат, можно с определенной долей условности судить об уровне платежеспособности хозяйствующего субъекта.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Рассматриваемое предприятие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2011 г. имело неликвидный баланс, однако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2012 г. 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баланс предприятия стал абсолютно-ликвидным. Это говорит о том, что предприятие ведет разумную финансовую политику, мало испытывает трудностей, связанных с основной деятельностью.</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 рамках углубленного анализа в дополнение к абсолютным показателям рассчитаем ряд аналитических показателей – коэффициентов ликвидности: абсолютной ликвидности, текущей ликвидности, восстановления платежеспособности.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На начало и конец</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значение показателя абсолютной ликвидности составило 0,9. На конец периода показатель находится выше нормативного значения (&gt;0,2), что говорит о том, что предприятие в полной мере обеспечено средствами для своевременного погашения наиболее срочных обязательств за счет наиболее ликвидных активов. На начало</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значение показателя текущей ликвидности составило 1,03. На конец</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значение показателя снизилось незначительно и составило 1,0. На конец периода показатель находится ниже нормативного значения (&gt;2), что говорит о том, что предприятие в неполной мере обеспечено собственными средствами для ведения хозяйственной деятельности и своевременного погашения срочных обязательств. Показатель возможного восстановления платежеспособности говорит о том, сможет ли в ближайшие шесть месяцев предприятие утратить свою платежеспособность при существующей динамике изменения показателя текущей ликвидности. На конец периода значение показателя установилось на уровне 0,75, что говорит о том, что предприятие имеет вероятность утраты своей платежеспособности, так как показатель меньше единицы.</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3.2 Оценка деловой активности предприятия и рентабельности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Для реализации данного направления могут быть рассчитаны различные показатели, характеризующие эффективность использования материальных, трудовых и финансовых ресурсов. Основными из них являются показатели выработки, фондоотдачи и показатели оборачиваемости.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Таблица 1– Оценка деловой активности</w:t>
      </w:r>
    </w:p>
    <w:tbl>
      <w:tblPr>
        <w:tblStyle w:val="Table1"/>
        <w:tblW w:w="9220.000000000002"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6"/>
        <w:gridCol w:w="957.0000000000005"/>
        <w:gridCol w:w="1077.0000000000005"/>
        <w:gridCol w:w="838.9999999999998"/>
        <w:gridCol w:w="1331.0000000000002"/>
        <w:tblGridChange w:id="0">
          <w:tblGrid>
            <w:gridCol w:w="5016"/>
            <w:gridCol w:w="957.0000000000005"/>
            <w:gridCol w:w="1077.0000000000005"/>
            <w:gridCol w:w="838.9999999999998"/>
            <w:gridCol w:w="1331.0000000000002"/>
          </w:tblGrid>
        </w:tblGridChange>
      </w:tblGrid>
      <w:tr>
        <w:tc>
          <w:tcPr>
            <w:shd w:fill="ffffff" w:val="clear"/>
            <w:tcMar>
              <w:top w:w="0.0" w:type="dxa"/>
              <w:left w:w="0.0" w:type="dxa"/>
              <w:bottom w:w="0.0" w:type="dxa"/>
              <w:right w:w="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 формула расчета</w:t>
            </w:r>
          </w:p>
        </w:tc>
        <w:tc>
          <w:tcPr>
            <w:shd w:fill="ffffff" w:val="clear"/>
            <w:tcMar>
              <w:top w:w="0.0" w:type="dxa"/>
              <w:left w:w="0.0" w:type="dxa"/>
              <w:bottom w:w="0.0" w:type="dxa"/>
              <w:right w:w="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2011г.</w:t>
            </w:r>
          </w:p>
        </w:tc>
        <w:tc>
          <w:tcPr>
            <w:shd w:fill="ffffff" w:val="clear"/>
            <w:tcMar>
              <w:top w:w="0.0" w:type="dxa"/>
              <w:left w:w="0.0" w:type="dxa"/>
              <w:bottom w:w="0.0" w:type="dxa"/>
              <w:right w:w="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2012г.</w:t>
            </w:r>
          </w:p>
        </w:tc>
        <w:tc>
          <w:tcPr>
            <w:shd w:fill="ffffff" w:val="clear"/>
            <w:tcMar>
              <w:top w:w="0.0" w:type="dxa"/>
              <w:left w:w="0.0" w:type="dxa"/>
              <w:bottom w:w="0.0" w:type="dxa"/>
              <w:right w:w="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2013г.</w:t>
            </w:r>
          </w:p>
        </w:tc>
        <w:tc>
          <w:tcPr>
            <w:shd w:fill="ffffff" w:val="clear"/>
            <w:tcMar>
              <w:top w:w="0.0" w:type="dxa"/>
              <w:left w:w="0.0" w:type="dxa"/>
              <w:bottom w:w="0.0" w:type="dxa"/>
              <w:right w:w="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2011-2013 гг.</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0.0" w:type="dxa"/>
              <w:bottom w:w="0.0" w:type="dxa"/>
              <w:right w:w="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0.0" w:type="dxa"/>
              <w:bottom w:w="0.0" w:type="dxa"/>
              <w:right w:w="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ffffff" w:val="clear"/>
            <w:tcMar>
              <w:top w:w="0.0" w:type="dxa"/>
              <w:left w:w="0.0" w:type="dxa"/>
              <w:bottom w:w="0.0" w:type="dxa"/>
              <w:right w:w="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0.0" w:type="dxa"/>
              <w:bottom w:w="0.0" w:type="dxa"/>
              <w:right w:w="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Коэффициент оборачиваемости активов (стр.10ф.№2/((стр.300нп+стр.300кп)/2)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c>
          <w:tcPr>
            <w:shd w:fill="ffffff" w:val="clear"/>
            <w:tcMar>
              <w:top w:w="0.0" w:type="dxa"/>
              <w:left w:w="0.0" w:type="dxa"/>
              <w:bottom w:w="0.0" w:type="dxa"/>
              <w:right w:w="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w:t>
            </w:r>
          </w:p>
        </w:tc>
        <w:tc>
          <w:tcPr>
            <w:shd w:fill="ffffff" w:val="clear"/>
            <w:tcMar>
              <w:top w:w="0.0" w:type="dxa"/>
              <w:left w:w="0.0" w:type="dxa"/>
              <w:bottom w:w="0.0" w:type="dxa"/>
              <w:right w:w="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1,97</w:t>
            </w:r>
          </w:p>
        </w:tc>
        <w:tc>
          <w:tcPr>
            <w:shd w:fill="ffffff" w:val="clear"/>
            <w:tcMar>
              <w:top w:w="0.0" w:type="dxa"/>
              <w:left w:w="0.0" w:type="dxa"/>
              <w:bottom w:w="0.0" w:type="dxa"/>
              <w:right w:w="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Коэффициент оборачиваемости собственного капитала (стр.10ф.№2/((стр.490нп+стр.490кп)/2)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58,31</w:t>
            </w:r>
          </w:p>
        </w:tc>
        <w:tc>
          <w:tcPr>
            <w:shd w:fill="ffffff" w:val="clear"/>
            <w:tcMar>
              <w:top w:w="0.0" w:type="dxa"/>
              <w:left w:w="0.0" w:type="dxa"/>
              <w:bottom w:w="0.0" w:type="dxa"/>
              <w:right w:w="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43,91</w:t>
            </w:r>
          </w:p>
        </w:tc>
        <w:tc>
          <w:tcPr>
            <w:shd w:fill="ffffff" w:val="clear"/>
            <w:tcMar>
              <w:top w:w="0.0" w:type="dxa"/>
              <w:left w:w="0.0" w:type="dxa"/>
              <w:bottom w:w="0.0" w:type="dxa"/>
              <w:right w:w="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51,72</w:t>
            </w:r>
          </w:p>
        </w:tc>
        <w:tc>
          <w:tcPr>
            <w:shd w:fill="ffffff" w:val="clear"/>
            <w:tcMar>
              <w:top w:w="0.0" w:type="dxa"/>
              <w:left w:w="0.0" w:type="dxa"/>
              <w:bottom w:w="0.0" w:type="dxa"/>
              <w:right w:w="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-6,59</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Коэффициент оборачиваемости оборотных активов (стр.10ф.№2/((стр.290нп+стр.290кп)/2)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0,87</w:t>
            </w:r>
          </w:p>
        </w:tc>
        <w:tc>
          <w:tcPr>
            <w:shd w:fill="ffffff" w:val="clear"/>
            <w:tcMar>
              <w:top w:w="0.0" w:type="dxa"/>
              <w:left w:w="0.0" w:type="dxa"/>
              <w:bottom w:w="0.0" w:type="dxa"/>
              <w:right w:w="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w:t>
            </w:r>
          </w:p>
        </w:tc>
        <w:tc>
          <w:tcPr>
            <w:shd w:fill="ffffff" w:val="clear"/>
            <w:tcMar>
              <w:top w:w="0.0" w:type="dxa"/>
              <w:left w:w="0.0" w:type="dxa"/>
              <w:bottom w:w="0.0" w:type="dxa"/>
              <w:right w:w="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ffffff" w:val="clear"/>
            <w:tcMar>
              <w:top w:w="0.0" w:type="dxa"/>
              <w:left w:w="0.0" w:type="dxa"/>
              <w:bottom w:w="0.0" w:type="dxa"/>
              <w:right w:w="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0,28</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Коэффициент оборачиваемости денежных средств (стр.10ф.№2/((стр.260нп+стр.260кп)/2)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w:t>
            </w:r>
          </w:p>
        </w:tc>
        <w:tc>
          <w:tcPr>
            <w:shd w:fill="ffffff" w:val="clear"/>
            <w:tcMar>
              <w:top w:w="0.0" w:type="dxa"/>
              <w:left w:w="0.0" w:type="dxa"/>
              <w:bottom w:w="0.0" w:type="dxa"/>
              <w:right w:w="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1,41</w:t>
            </w:r>
          </w:p>
        </w:tc>
        <w:tc>
          <w:tcPr>
            <w:shd w:fill="ffffff" w:val="clear"/>
            <w:tcMar>
              <w:top w:w="0.0" w:type="dxa"/>
              <w:left w:w="0.0" w:type="dxa"/>
              <w:bottom w:w="0.0" w:type="dxa"/>
              <w:right w:w="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1,31</w:t>
            </w:r>
          </w:p>
        </w:tc>
        <w:tc>
          <w:tcPr>
            <w:shd w:fill="ffffff" w:val="clear"/>
            <w:tcMar>
              <w:top w:w="0.0" w:type="dxa"/>
              <w:left w:w="0.0" w:type="dxa"/>
              <w:bottom w:w="0.0" w:type="dxa"/>
              <w:right w:w="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5.Оборачиваемость дебиторской задолженности (в оборотах) (стр.10ф.№2/((стр.240нп+стр.240кп)/2)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7,91</w:t>
            </w:r>
          </w:p>
        </w:tc>
        <w:tc>
          <w:tcPr>
            <w:shd w:fill="ffffff" w:val="clear"/>
            <w:tcMar>
              <w:top w:w="0.0" w:type="dxa"/>
              <w:left w:w="0.0" w:type="dxa"/>
              <w:bottom w:w="0.0" w:type="dxa"/>
              <w:right w:w="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9,86</w:t>
            </w:r>
          </w:p>
        </w:tc>
        <w:tc>
          <w:tcPr>
            <w:shd w:fill="ffffff" w:val="clear"/>
            <w:tcMar>
              <w:top w:w="0.0" w:type="dxa"/>
              <w:left w:w="0.0" w:type="dxa"/>
              <w:bottom w:w="0.0" w:type="dxa"/>
              <w:right w:w="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13,84</w:t>
            </w:r>
          </w:p>
        </w:tc>
        <w:tc>
          <w:tcPr>
            <w:shd w:fill="ffffff" w:val="clear"/>
            <w:tcMar>
              <w:top w:w="0.0" w:type="dxa"/>
              <w:left w:w="0.0" w:type="dxa"/>
              <w:bottom w:w="0.0" w:type="dxa"/>
              <w:right w:w="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5,93</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Оборачиваемость средств в расчетах (в днях) (360дн./п.5)</w:t>
            </w:r>
          </w:p>
        </w:tc>
        <w:tc>
          <w:tcPr>
            <w:shd w:fill="ffffff" w:val="clear"/>
            <w:tcMar>
              <w:top w:w="0.0" w:type="dxa"/>
              <w:left w:w="0.0" w:type="dxa"/>
              <w:bottom w:w="0.0" w:type="dxa"/>
              <w:right w:w="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c>
          <w:tcPr>
            <w:shd w:fill="ffffff" w:val="clear"/>
            <w:tcMar>
              <w:top w:w="0.0" w:type="dxa"/>
              <w:left w:w="0.0" w:type="dxa"/>
              <w:bottom w:w="0.0" w:type="dxa"/>
              <w:right w:w="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w:t>
            </w:r>
          </w:p>
        </w:tc>
        <w:tc>
          <w:tcPr>
            <w:shd w:fill="ffffff" w:val="clear"/>
            <w:tcMar>
              <w:top w:w="0.0" w:type="dxa"/>
              <w:left w:w="0.0" w:type="dxa"/>
              <w:bottom w:w="0.0" w:type="dxa"/>
              <w:right w:w="0.0" w:type="dxa"/>
            </w:tcMa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ffffff" w:val="clear"/>
            <w:tcMar>
              <w:top w:w="0.0" w:type="dxa"/>
              <w:left w:w="0.0" w:type="dxa"/>
              <w:bottom w:w="0.0" w:type="dxa"/>
              <w:right w:w="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Коэффициент оборачиваемости запасов (стр.020ф.№2/((стр.210нп+стр.210кп)/2)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21,3</w:t>
            </w:r>
          </w:p>
        </w:tc>
        <w:tc>
          <w:tcPr>
            <w:shd w:fill="ffffff" w:val="clear"/>
            <w:tcMar>
              <w:top w:w="0.0" w:type="dxa"/>
              <w:left w:w="0.0" w:type="dxa"/>
              <w:bottom w:w="0.0" w:type="dxa"/>
              <w:right w:w="0.0" w:type="dxa"/>
            </w:tcM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28,74</w:t>
            </w:r>
          </w:p>
        </w:tc>
        <w:tc>
          <w:tcPr>
            <w:shd w:fill="ffffff" w:val="clear"/>
            <w:tcMar>
              <w:top w:w="0.0" w:type="dxa"/>
              <w:left w:w="0.0" w:type="dxa"/>
              <w:bottom w:w="0.0" w:type="dxa"/>
              <w:right w:w="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35,93</w:t>
            </w:r>
          </w:p>
        </w:tc>
        <w:tc>
          <w:tcPr>
            <w:shd w:fill="ffffff" w:val="clear"/>
            <w:tcMar>
              <w:top w:w="0.0" w:type="dxa"/>
              <w:left w:w="0.0" w:type="dxa"/>
              <w:bottom w:w="0.0" w:type="dxa"/>
              <w:right w:w="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14,63</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Оборачиваемость запасов (в днях) (360дн./п.7)</w:t>
            </w:r>
          </w:p>
        </w:tc>
        <w:tc>
          <w:tcPr>
            <w:shd w:fill="ffffff" w:val="clear"/>
            <w:tcMar>
              <w:top w:w="0.0" w:type="dxa"/>
              <w:left w:w="0.0" w:type="dxa"/>
              <w:bottom w:w="0.0" w:type="dxa"/>
              <w:right w:w="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ffffff" w:val="clear"/>
            <w:tcMar>
              <w:top w:w="0.0" w:type="dxa"/>
              <w:left w:w="0.0" w:type="dxa"/>
              <w:bottom w:w="0.0" w:type="dxa"/>
              <w:right w:w="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ffffff" w:val="clear"/>
            <w:tcMar>
              <w:top w:w="0.0" w:type="dxa"/>
              <w:left w:w="0.0" w:type="dxa"/>
              <w:bottom w:w="0.0" w:type="dxa"/>
              <w:right w:w="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ffffff" w:val="clear"/>
            <w:tcMar>
              <w:top w:w="0.0" w:type="dxa"/>
              <w:left w:w="0.0" w:type="dxa"/>
              <w:bottom w:w="0.0" w:type="dxa"/>
              <w:right w:w="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Оборачиваемости кредиторской задолженности (оборот) (стр.020ф.№2/((стр.620нп+стр.620кп)/2)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3,14</w:t>
            </w:r>
          </w:p>
        </w:tc>
        <w:tc>
          <w:tcPr>
            <w:shd w:fill="ffffff" w:val="clear"/>
            <w:tcMar>
              <w:top w:w="0.0" w:type="dxa"/>
              <w:left w:w="0.0" w:type="dxa"/>
              <w:bottom w:w="0.0" w:type="dxa"/>
              <w:right w:w="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5,02</w:t>
            </w:r>
          </w:p>
        </w:tc>
        <w:tc>
          <w:tcPr>
            <w:shd w:fill="ffffff" w:val="clear"/>
            <w:tcMar>
              <w:top w:w="0.0" w:type="dxa"/>
              <w:left w:w="0.0" w:type="dxa"/>
              <w:bottom w:w="0.0" w:type="dxa"/>
              <w:right w:w="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5,73</w:t>
            </w:r>
          </w:p>
        </w:tc>
        <w:tc>
          <w:tcPr>
            <w:shd w:fill="ffffff" w:val="clear"/>
            <w:tcMar>
              <w:top w:w="0.0" w:type="dxa"/>
              <w:left w:w="0.0" w:type="dxa"/>
              <w:bottom w:w="0.0" w:type="dxa"/>
              <w:right w:w="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Оборачиваемость кредиторской задолженности (в днях) (360/п.9)</w:t>
            </w:r>
          </w:p>
        </w:tc>
        <w:tc>
          <w:tcPr>
            <w:shd w:fill="ffffff" w:val="clear"/>
            <w:tcMar>
              <w:top w:w="0.0" w:type="dxa"/>
              <w:left w:w="0.0" w:type="dxa"/>
              <w:bottom w:w="0.0" w:type="dxa"/>
              <w:right w:w="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w:t>
            </w:r>
          </w:p>
        </w:tc>
        <w:tc>
          <w:tcPr>
            <w:shd w:fill="ffffff" w:val="clear"/>
            <w:tcMar>
              <w:top w:w="0.0" w:type="dxa"/>
              <w:left w:w="0.0" w:type="dxa"/>
              <w:bottom w:w="0.0" w:type="dxa"/>
              <w:right w:w="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w:t>
            </w:r>
          </w:p>
        </w:tc>
        <w:tc>
          <w:tcPr>
            <w:shd w:fill="ffffff" w:val="clear"/>
            <w:tcMar>
              <w:top w:w="0.0" w:type="dxa"/>
              <w:left w:w="0.0" w:type="dxa"/>
              <w:bottom w:w="0.0" w:type="dxa"/>
              <w:right w:w="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w:t>
            </w:r>
          </w:p>
        </w:tc>
        <w:tc>
          <w:tcPr>
            <w:shd w:fill="ffffff" w:val="clear"/>
            <w:tcMar>
              <w:top w:w="0.0" w:type="dxa"/>
              <w:left w:w="0.0" w:type="dxa"/>
              <w:bottom w:w="0.0" w:type="dxa"/>
              <w:right w:w="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11.Фондоотдача (стр.010ф.№2/(стр.120нп+стр.120кп.)/2)</w:t>
            </w:r>
          </w:p>
        </w:tc>
        <w:tc>
          <w:tcPr>
            <w:shd w:fill="ffffff" w:val="clear"/>
            <w:tcMar>
              <w:top w:w="0.0" w:type="dxa"/>
              <w:left w:w="0.0" w:type="dxa"/>
              <w:bottom w:w="0.0" w:type="dxa"/>
              <w:right w:w="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115,77</w:t>
            </w:r>
          </w:p>
        </w:tc>
        <w:tc>
          <w:tcPr>
            <w:shd w:fill="ffffff" w:val="clear"/>
            <w:tcMar>
              <w:top w:w="0.0" w:type="dxa"/>
              <w:left w:w="0.0" w:type="dxa"/>
              <w:bottom w:w="0.0" w:type="dxa"/>
              <w:right w:w="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0.0" w:type="dxa"/>
              <w:bottom w:w="0.0" w:type="dxa"/>
              <w:right w:w="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0.0" w:type="dxa"/>
              <w:bottom w:w="0.0" w:type="dxa"/>
              <w:right w:w="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 Продолжительность операционного цикла (п.6+п.8)</w:t>
            </w:r>
          </w:p>
        </w:tc>
        <w:tc>
          <w:tcPr>
            <w:shd w:fill="ffffff" w:val="clear"/>
            <w:tcMar>
              <w:top w:w="0.0" w:type="dxa"/>
              <w:left w:w="0.0" w:type="dxa"/>
              <w:bottom w:w="0.0" w:type="dxa"/>
              <w:right w:w="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w:t>
            </w:r>
          </w:p>
        </w:tc>
        <w:tc>
          <w:tcPr>
            <w:shd w:fill="ffffff" w:val="clear"/>
            <w:tcMar>
              <w:top w:w="0.0" w:type="dxa"/>
              <w:left w:w="0.0" w:type="dxa"/>
              <w:bottom w:w="0.0" w:type="dxa"/>
              <w:right w:w="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ffffff" w:val="clear"/>
            <w:tcMar>
              <w:top w:w="0.0" w:type="dxa"/>
              <w:left w:w="0.0" w:type="dxa"/>
              <w:bottom w:w="0.0" w:type="dxa"/>
              <w:right w:w="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w:t>
            </w:r>
          </w:p>
        </w:tc>
        <w:tc>
          <w:tcPr>
            <w:shd w:fill="ffffff" w:val="clear"/>
            <w:tcMar>
              <w:top w:w="0.0" w:type="dxa"/>
              <w:left w:w="0.0" w:type="dxa"/>
              <w:bottom w:w="0.0" w:type="dxa"/>
              <w:right w:w="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Проанализировав данные таблицы 1 можно заметить, что оборачиваемость текущих активов возросла на 1,17. Очевидно, что различные виды текущих активов обладают различной ликвидностью, под которой понимается временный период, необходимый для конвертации данного актива в денежные средства, и расходы по обеспечению этой конвертации. Только денежным средствам присуща абсолютная ликвидность. Для того чтобы вовремя оплачивать счета поставщиков, предприятие должно обладать определенным уровнем абсолютной ликвидности. Коэффициент оборачиваемости денежных средств увеличился на 0,3, это говорит о том, что у предприятия достаточно денежных средств для покупки товаров. Оборачиваемость дебиторской задолженности увеличилась на 5,93, это говорит о том, что предприятие эффективно организовало работу по сбору оплаты за свои товары и услуги. Увеличение данного показателя говорит о том, что уменьшается число неплатежеспособных клиентов, а так же это может быть связано и с переходом компании к более мягкой политике взаимоотношений с клиентами, направленной на расширение доли рынка. Оборачиваемость кредиторской задолженности увеличилась на 2,59. Чем выше данный показатель, тем быстрее компания рассчитывается со своими поставщиками.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Коэффициент оборачиваемости запасов увеличился на 14,63. Чем выше оборачиваемость запасов компании, тем более эффективной является торговля и тем меньше потребность в оборотном капитале для её организации.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Устойчивое функционирование предприятия зависит от его способности приносить достаточный объём дохода (прибыли). Эта способность оказывает влияние на платёжеспособность предприятия.</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Такие показатели называют показателями рентабельности (таблица 2)</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Таблица 2 – Расчет показателей рентабельности</w:t>
      </w:r>
    </w:p>
    <w:tbl>
      <w:tblPr>
        <w:tblStyle w:val="Table2"/>
        <w:tblW w:w="922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1142.9999999999995"/>
        <w:gridCol w:w="1133.9999999999998"/>
        <w:gridCol w:w="1133.9999999999998"/>
        <w:gridCol w:w="1701.0000000000002"/>
        <w:tblGridChange w:id="0">
          <w:tblGrid>
            <w:gridCol w:w="4110"/>
            <w:gridCol w:w="1142.9999999999995"/>
            <w:gridCol w:w="1133.9999999999998"/>
            <w:gridCol w:w="1133.9999999999998"/>
            <w:gridCol w:w="1701.0000000000002"/>
          </w:tblGrid>
        </w:tblGridChange>
      </w:tblGrid>
      <w:tr>
        <w:tc>
          <w:tcPr>
            <w:shd w:fill="ffffff" w:val="clear"/>
            <w:tcMar>
              <w:top w:w="0.0" w:type="dxa"/>
              <w:left w:w="0.0" w:type="dxa"/>
              <w:bottom w:w="0.0" w:type="dxa"/>
              <w:right w:w="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ffffff" w:val="clear"/>
            <w:tcMar>
              <w:top w:w="0.0" w:type="dxa"/>
              <w:left w:w="0.0" w:type="dxa"/>
              <w:bottom w:w="0.0" w:type="dxa"/>
              <w:right w:w="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 г.</w:t>
            </w:r>
          </w:p>
        </w:tc>
        <w:tc>
          <w:tcPr>
            <w:shd w:fill="ffffff" w:val="clear"/>
            <w:tcMar>
              <w:top w:w="0.0" w:type="dxa"/>
              <w:left w:w="0.0" w:type="dxa"/>
              <w:bottom w:w="0.0" w:type="dxa"/>
              <w:right w:w="0.0" w:type="dxa"/>
            </w:tcMa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 г.</w:t>
            </w:r>
          </w:p>
        </w:tc>
        <w:tc>
          <w:tcPr>
            <w:shd w:fill="ffffff" w:val="clear"/>
            <w:tcMar>
              <w:top w:w="0.0" w:type="dxa"/>
              <w:left w:w="0.0" w:type="dxa"/>
              <w:bottom w:w="0.0" w:type="dxa"/>
              <w:right w:w="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ffffff" w:val="clear"/>
            <w:tcMar>
              <w:top w:w="0.0" w:type="dxa"/>
              <w:left w:w="0.0" w:type="dxa"/>
              <w:bottom w:w="0.0" w:type="dxa"/>
              <w:right w:w="0.0" w:type="dxa"/>
            </w:tcM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к 2011 г.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 от продажи товаров, продукции, работ, услуг, руб.</w:t>
            </w:r>
          </w:p>
        </w:tc>
        <w:tc>
          <w:tcPr>
            <w:shd w:fill="ffffff" w:val="clear"/>
            <w:tcMar>
              <w:top w:w="0.0" w:type="dxa"/>
              <w:left w:w="0.0" w:type="dxa"/>
              <w:bottom w:w="0.0" w:type="dxa"/>
              <w:right w:w="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41 765 928</w:t>
            </w:r>
          </w:p>
        </w:tc>
        <w:tc>
          <w:tcPr>
            <w:shd w:fill="ffffff" w:val="clear"/>
            <w:tcMar>
              <w:top w:w="0.0" w:type="dxa"/>
              <w:left w:w="0.0" w:type="dxa"/>
              <w:bottom w:w="0.0" w:type="dxa"/>
              <w:right w:w="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74 540 665</w:t>
            </w:r>
          </w:p>
        </w:tc>
        <w:tc>
          <w:tcPr>
            <w:shd w:fill="ffffff" w:val="clear"/>
            <w:tcMar>
              <w:top w:w="0.0" w:type="dxa"/>
              <w:left w:w="0.0" w:type="dxa"/>
              <w:bottom w:w="0.0" w:type="dxa"/>
              <w:right w:w="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87 800 630</w:t>
            </w:r>
          </w:p>
        </w:tc>
        <w:tc>
          <w:tcPr>
            <w:shd w:fill="ffffff" w:val="clear"/>
            <w:tcMar>
              <w:top w:w="0.0" w:type="dxa"/>
              <w:left w:w="0.0" w:type="dxa"/>
              <w:bottom w:w="0.0" w:type="dxa"/>
              <w:right w:w="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2,1 раза</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Полная себестоимость реализованной продукции, руб.</w:t>
            </w:r>
          </w:p>
        </w:tc>
        <w:tc>
          <w:tcPr>
            <w:shd w:fill="ffffff" w:val="clear"/>
            <w:tcMar>
              <w:top w:w="0.0" w:type="dxa"/>
              <w:left w:w="0.0" w:type="dxa"/>
              <w:bottom w:w="0.0" w:type="dxa"/>
              <w:right w:w="0.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36 021 183</w:t>
            </w:r>
          </w:p>
        </w:tc>
        <w:tc>
          <w:tcPr>
            <w:shd w:fill="ffffff" w:val="clear"/>
            <w:tcMar>
              <w:top w:w="0.0" w:type="dxa"/>
              <w:left w:w="0.0" w:type="dxa"/>
              <w:bottom w:w="0.0" w:type="dxa"/>
              <w:right w:w="0.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63 910 375</w:t>
            </w:r>
          </w:p>
        </w:tc>
        <w:tc>
          <w:tcPr>
            <w:shd w:fill="ffffff" w:val="clear"/>
            <w:tcMar>
              <w:top w:w="0.0" w:type="dxa"/>
              <w:left w:w="0.0" w:type="dxa"/>
              <w:bottom w:w="0.0" w:type="dxa"/>
              <w:right w:w="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81 724 418</w:t>
            </w:r>
          </w:p>
        </w:tc>
        <w:tc>
          <w:tcPr>
            <w:shd w:fill="ffffff" w:val="clear"/>
            <w:tcMar>
              <w:top w:w="0.0" w:type="dxa"/>
              <w:left w:w="0.0" w:type="dxa"/>
              <w:bottom w:w="0.0" w:type="dxa"/>
              <w:right w:w="0.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2,27 раза</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 / убыток (-) от продаж, всего, руб.</w:t>
            </w:r>
          </w:p>
        </w:tc>
        <w:tc>
          <w:tcPr>
            <w:shd w:fill="ffffff" w:val="clear"/>
            <w:tcMar>
              <w:top w:w="0.0" w:type="dxa"/>
              <w:left w:w="0.0" w:type="dxa"/>
              <w:bottom w:w="0.0" w:type="dxa"/>
              <w:right w:w="0.0" w:type="dxa"/>
            </w:tcM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3 620 961</w:t>
            </w:r>
          </w:p>
        </w:tc>
        <w:tc>
          <w:tcPr>
            <w:shd w:fill="ffffff" w:val="clear"/>
            <w:tcMar>
              <w:top w:w="0.0" w:type="dxa"/>
              <w:left w:w="0.0" w:type="dxa"/>
              <w:bottom w:w="0.0" w:type="dxa"/>
              <w:right w:w="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4 933 979</w:t>
            </w:r>
          </w:p>
        </w:tc>
        <w:tc>
          <w:tcPr>
            <w:shd w:fill="ffffff" w:val="clear"/>
            <w:tcMar>
              <w:top w:w="0.0" w:type="dxa"/>
              <w:left w:w="0.0" w:type="dxa"/>
              <w:bottom w:w="0.0" w:type="dxa"/>
              <w:right w:w="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1 391 258</w:t>
            </w:r>
          </w:p>
        </w:tc>
        <w:tc>
          <w:tcPr>
            <w:shd w:fill="ffffff" w:val="clear"/>
            <w:tcMar>
              <w:top w:w="0.0" w:type="dxa"/>
              <w:left w:w="0.0" w:type="dxa"/>
              <w:bottom w:w="0.0" w:type="dxa"/>
              <w:right w:w="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38,42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Уровень рентабельности продаж, %</w:t>
            </w:r>
          </w:p>
        </w:tc>
        <w:tc>
          <w:tcPr>
            <w:shd w:fill="ffffff" w:val="clear"/>
            <w:tcMar>
              <w:top w:w="0.0" w:type="dxa"/>
              <w:left w:w="0.0" w:type="dxa"/>
              <w:bottom w:w="0.0" w:type="dxa"/>
              <w:right w:w="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8,67</w:t>
            </w:r>
          </w:p>
        </w:tc>
        <w:tc>
          <w:tcPr>
            <w:shd w:fill="ffffff" w:val="clear"/>
            <w:tcMar>
              <w:top w:w="0.0" w:type="dxa"/>
              <w:left w:w="0.0" w:type="dxa"/>
              <w:bottom w:w="0.0" w:type="dxa"/>
              <w:right w:w="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6,62</w:t>
            </w:r>
          </w:p>
        </w:tc>
        <w:tc>
          <w:tcPr>
            <w:shd w:fill="ffffff" w:val="clear"/>
            <w:tcMar>
              <w:top w:w="0.0" w:type="dxa"/>
              <w:left w:w="0.0" w:type="dxa"/>
              <w:bottom w:w="0.0" w:type="dxa"/>
              <w:right w:w="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w:t>
            </w:r>
          </w:p>
        </w:tc>
        <w:tc>
          <w:tcPr>
            <w:shd w:fill="ffffff" w:val="clear"/>
            <w:tcMar>
              <w:top w:w="0.0" w:type="dxa"/>
              <w:left w:w="0.0" w:type="dxa"/>
              <w:bottom w:w="0.0" w:type="dxa"/>
              <w:right w:w="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18,22</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до налогообложения, руб.</w:t>
            </w:r>
          </w:p>
        </w:tc>
        <w:tc>
          <w:tcPr>
            <w:shd w:fill="ffffff" w:val="clear"/>
            <w:tcMar>
              <w:top w:w="0.0" w:type="dxa"/>
              <w:left w:w="0.0" w:type="dxa"/>
              <w:bottom w:w="0.0" w:type="dxa"/>
              <w:right w:w="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3 395 389</w:t>
            </w:r>
          </w:p>
        </w:tc>
        <w:tc>
          <w:tcPr>
            <w:shd w:fill="ffffff" w:val="clear"/>
            <w:tcMar>
              <w:top w:w="0.0" w:type="dxa"/>
              <w:left w:w="0.0" w:type="dxa"/>
              <w:bottom w:w="0.0" w:type="dxa"/>
              <w:right w:w="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4 156 118</w:t>
            </w:r>
          </w:p>
        </w:tc>
        <w:tc>
          <w:tcPr>
            <w:shd w:fill="ffffff" w:val="clear"/>
            <w:tcMar>
              <w:top w:w="0.0" w:type="dxa"/>
              <w:left w:w="0.0" w:type="dxa"/>
              <w:bottom w:w="0.0" w:type="dxa"/>
              <w:right w:w="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1 528 544</w:t>
            </w:r>
          </w:p>
        </w:tc>
        <w:tc>
          <w:tcPr>
            <w:shd w:fill="ffffff" w:val="clear"/>
            <w:tcMar>
              <w:top w:w="0.0" w:type="dxa"/>
              <w:left w:w="0.0" w:type="dxa"/>
              <w:bottom w:w="0.0" w:type="dxa"/>
              <w:right w:w="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45,02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прибыль, руб.</w:t>
            </w:r>
          </w:p>
        </w:tc>
        <w:tc>
          <w:tcPr>
            <w:shd w:fill="ffffff" w:val="clear"/>
            <w:tcMar>
              <w:top w:w="0.0" w:type="dxa"/>
              <w:left w:w="0.0" w:type="dxa"/>
              <w:bottom w:w="0.0" w:type="dxa"/>
              <w:right w:w="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814 894</w:t>
            </w:r>
          </w:p>
        </w:tc>
        <w:tc>
          <w:tcPr>
            <w:shd w:fill="ffffff" w:val="clear"/>
            <w:tcMar>
              <w:top w:w="0.0" w:type="dxa"/>
              <w:left w:w="0.0" w:type="dxa"/>
              <w:bottom w:w="0.0" w:type="dxa"/>
              <w:right w:w="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997 469</w:t>
            </w:r>
          </w:p>
        </w:tc>
        <w:tc>
          <w:tcPr>
            <w:shd w:fill="ffffff" w:val="clear"/>
            <w:tcMar>
              <w:top w:w="0.0" w:type="dxa"/>
              <w:left w:w="0.0" w:type="dxa"/>
              <w:bottom w:w="0.0" w:type="dxa"/>
              <w:right w:w="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305 709</w:t>
            </w:r>
          </w:p>
        </w:tc>
        <w:tc>
          <w:tcPr>
            <w:shd w:fill="ffffff" w:val="clear"/>
            <w:tcMar>
              <w:top w:w="0.0" w:type="dxa"/>
              <w:left w:w="0.0" w:type="dxa"/>
              <w:bottom w:w="0.0" w:type="dxa"/>
              <w:right w:w="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37,51</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 руб.</w:t>
            </w:r>
          </w:p>
        </w:tc>
        <w:tc>
          <w:tcPr>
            <w:shd w:fill="ffffff" w:val="clear"/>
            <w:tcMar>
              <w:top w:w="0.0" w:type="dxa"/>
              <w:left w:w="0.0" w:type="dxa"/>
              <w:bottom w:w="0.0" w:type="dxa"/>
              <w:right w:w="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2 580 495</w:t>
            </w:r>
          </w:p>
        </w:tc>
        <w:tc>
          <w:tcPr>
            <w:shd w:fill="ffffff" w:val="clear"/>
            <w:tcMar>
              <w:top w:w="0.0" w:type="dxa"/>
              <w:left w:w="0.0" w:type="dxa"/>
              <w:bottom w:w="0.0" w:type="dxa"/>
              <w:right w:w="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3 158 649</w:t>
            </w:r>
          </w:p>
        </w:tc>
        <w:tc>
          <w:tcPr>
            <w:shd w:fill="ffffff" w:val="clear"/>
            <w:tcMar>
              <w:top w:w="0.0" w:type="dxa"/>
              <w:left w:w="0.0" w:type="dxa"/>
              <w:bottom w:w="0.0" w:type="dxa"/>
              <w:right w:w="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1 222 835</w:t>
            </w:r>
          </w:p>
        </w:tc>
        <w:tc>
          <w:tcPr>
            <w:shd w:fill="ffffff" w:val="clear"/>
            <w:tcMar>
              <w:top w:w="0.0" w:type="dxa"/>
              <w:left w:w="0.0" w:type="dxa"/>
              <w:bottom w:w="0.0" w:type="dxa"/>
              <w:right w:w="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47,39</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основной деятельности, %</w:t>
            </w:r>
          </w:p>
        </w:tc>
        <w:tc>
          <w:tcPr>
            <w:shd w:fill="ffffff" w:val="clear"/>
            <w:tcMar>
              <w:top w:w="0.0" w:type="dxa"/>
              <w:left w:w="0.0" w:type="dxa"/>
              <w:bottom w:w="0.0" w:type="dxa"/>
              <w:right w:w="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7,16</w:t>
            </w:r>
          </w:p>
        </w:tc>
        <w:tc>
          <w:tcPr>
            <w:shd w:fill="ffffff" w:val="clear"/>
            <w:tcMar>
              <w:top w:w="0.0" w:type="dxa"/>
              <w:left w:w="0.0" w:type="dxa"/>
              <w:bottom w:w="0.0" w:type="dxa"/>
              <w:right w:w="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4,94</w:t>
            </w:r>
          </w:p>
        </w:tc>
        <w:tc>
          <w:tcPr>
            <w:shd w:fill="ffffff" w:val="clear"/>
            <w:tcMar>
              <w:top w:w="0.0" w:type="dxa"/>
              <w:left w:w="0.0" w:type="dxa"/>
              <w:bottom w:w="0.0" w:type="dxa"/>
              <w:right w:w="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ffffff" w:val="clear"/>
            <w:tcMar>
              <w:top w:w="0.0" w:type="dxa"/>
              <w:left w:w="0.0" w:type="dxa"/>
              <w:bottom w:w="0.0" w:type="dxa"/>
              <w:right w:w="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8"/>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20,95</w:t>
            </w:r>
          </w:p>
        </w:tc>
      </w:tr>
    </w:tbl>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Рассмотрев таблицу 2</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можно заметить, что чистая прибыль Кинельского почтамта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по сравнению с</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2011 г. снизилась на 52,61%.</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Показатели рентабельности характеризуют эффективность работы предприятия в целом. Вложенные предприятием денежные средства окупились на 108,67%, 106,62% и на 101,58% соответственно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2007 г.,</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2008 г. и</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2009 г. Рентабельность основной деятельности составила 1,5%, это означает, что положение предприятия 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2009 г. заметно ухудшилось.</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Характеристика анализа финансовой устойчивости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финансовой устойчивости характеризует состояние взаимоотношений предприятия с кредиторами. Количественно финансовая устойчивость оценивается двояко: с позиции структуры источников средств; и с позиции расходов связанных с обслуживанием внешних источников. Поэтому выделяют две группы показателей называемые условно коэффициентами капитализации и коэффициентами покрытия. Показатели первой группы рассчитываются посданным пассива баланса; во вторую группу входят показатели рассчитываемые соотношением прибыли до вычета процентов и налогов с величиной постоянных финансовых расходов, т.е. расходов нести которых предприятие обязано не зависимо от того имеет оно прибыль или нет.</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финансовой устойчивости.</w:t>
      </w:r>
    </w:p>
    <w:p w:rsidR="00000000" w:rsidDel="00000000" w:rsidP="00000000" w:rsidRDefault="00000000" w:rsidRPr="00000000" w14:paraId="00000132">
      <w:pPr>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автономии. Характеризует независимость предприятия от заемных средств. Показывает долю собственных средств в общей сумме всех средств предприятия. Считается, что чем выше доля собственных средств, тем больше шансов у предприятия справиться с рыночной неопределенностью.</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Минимальное значение 0,5. Рост данного коэффициента свидетельствует об увеличении финансовой независимости, повышая гарантии погашения предприятием своих обязательств и расширяя возможности привлечения средств со стороны.</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авт</w:t>
      </w:r>
      <w:r w:rsidDel="00000000" w:rsidR="00000000" w:rsidRPr="00000000">
        <w:rPr>
          <w:rFonts w:ascii="Times New Roman" w:cs="Times New Roman" w:eastAsia="Times New Roman" w:hAnsi="Times New Roman"/>
          <w:smallCaps w:val="0"/>
          <w:sz w:val="28"/>
          <w:szCs w:val="28"/>
          <w:rtl w:val="0"/>
        </w:rPr>
        <w:t xml:space="preserve">= собственный капитал / активы = ст. 1300 / ст. 1700</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7">
      <w:pPr>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финансовой устойчивости. Характеризует роль собственного капитала и долгосрочных обязательств в деятельности организации. Оптимальное значение больше 0,7.</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фу</w:t>
      </w:r>
      <w:r w:rsidDel="00000000" w:rsidR="00000000" w:rsidRPr="00000000">
        <w:rPr>
          <w:rFonts w:ascii="Times New Roman" w:cs="Times New Roman" w:eastAsia="Times New Roman" w:hAnsi="Times New Roman"/>
          <w:smallCaps w:val="0"/>
          <w:sz w:val="28"/>
          <w:szCs w:val="28"/>
          <w:rtl w:val="0"/>
        </w:rPr>
        <w:t xml:space="preserve"> = Собственный капитал + долгосрочные обязательства / Активы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ст.1300+ст.1530+ст.1550+ст.1400 / ст.1700</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C">
      <w:pPr>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маневренности.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маневренности собственных средств – это коэффициент равный отношению собственных оборотных средств компании к общей величине собственных средств. Минимальное значение 0,5.</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286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286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м</w:t>
      </w:r>
      <w:r w:rsidDel="00000000" w:rsidR="00000000" w:rsidRPr="00000000">
        <w:rPr>
          <w:rFonts w:ascii="Times New Roman" w:cs="Times New Roman" w:eastAsia="Times New Roman" w:hAnsi="Times New Roman"/>
          <w:smallCaps w:val="0"/>
          <w:sz w:val="28"/>
          <w:szCs w:val="28"/>
          <w:rtl w:val="0"/>
        </w:rPr>
        <w:t xml:space="preserve"> = Собственные оборотные средства / собственный капитал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286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ст.1300-ст.1100+ст.1410 / ст.1300</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1418"/>
        </w:tabs>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2">
      <w:pPr>
        <w:numPr>
          <w:ilvl w:val="0"/>
          <w:numId w:val="10"/>
        </w:numPr>
        <w:pBdr>
          <w:top w:space="0" w:sz="0" w:val="nil"/>
          <w:left w:space="0" w:sz="0" w:val="nil"/>
          <w:bottom w:space="0" w:sz="0" w:val="nil"/>
          <w:right w:space="0" w:sz="0" w:val="nil"/>
          <w:between w:space="0" w:sz="0" w:val="nil"/>
        </w:pBdr>
        <w:shd w:fill="auto" w:val="clear"/>
        <w:tabs>
          <w:tab w:val="left" w:pos="-1418"/>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обеспеченности запасов и затрат собственными источниками. Показывает долю собственных оборотных средств в общей сумме основных источников для формирования запасов и затрат. Наиболее обобщающим показателем финансовой устойчивости является излишек (недостаток) определенных видов источников для формирования запасов и затрат. Оптимальное значение 0,1.</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330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330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оз</w:t>
      </w:r>
      <w:r w:rsidDel="00000000" w:rsidR="00000000" w:rsidRPr="00000000">
        <w:rPr>
          <w:rFonts w:ascii="Times New Roman" w:cs="Times New Roman" w:eastAsia="Times New Roman" w:hAnsi="Times New Roman"/>
          <w:smallCaps w:val="0"/>
          <w:sz w:val="28"/>
          <w:szCs w:val="28"/>
          <w:rtl w:val="0"/>
        </w:rPr>
        <w:t xml:space="preserve"> = Собственный оборотный капитал / Активы = ст.1300-ст.1100 / ст.1200</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0"/>
        </w:tabs>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6">
      <w:pPr>
        <w:numPr>
          <w:ilvl w:val="0"/>
          <w:numId w:val="10"/>
        </w:num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финансовой зависимости. Характеризует степень влияния предприятия от внешних источников финансирования, т.е. сколько заемных средств привлекло предприятие на 1 рубль собственного капитала. Показывает также меру способности предприятия, ликвидировав свои активы, полностью погасить кредиторскою задолженность.</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23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23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фз</w:t>
      </w:r>
      <w:r w:rsidDel="00000000" w:rsidR="00000000" w:rsidRPr="00000000">
        <w:rPr>
          <w:rFonts w:ascii="Times New Roman" w:cs="Times New Roman" w:eastAsia="Times New Roman" w:hAnsi="Times New Roman"/>
          <w:smallCaps w:val="0"/>
          <w:sz w:val="28"/>
          <w:szCs w:val="28"/>
          <w:rtl w:val="0"/>
        </w:rPr>
        <w:t xml:space="preserve"> = Сумма привлечённого капитала / собственный капитал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23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ст.1400+ст.1500+ст.1530-ст.1550 / 1300</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0"/>
        </w:tabs>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B">
      <w:pPr>
        <w:numPr>
          <w:ilvl w:val="0"/>
          <w:numId w:val="10"/>
        </w:num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денежных средств и чистого оборотного капитала. Характеризует долю чистого оборотного капитала в денежных средствах. Оптимальное значение отсутствует.</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сдсчок</w:t>
      </w:r>
      <w:r w:rsidDel="00000000" w:rsidR="00000000" w:rsidRPr="00000000">
        <w:rPr>
          <w:rFonts w:ascii="Times New Roman" w:cs="Times New Roman" w:eastAsia="Times New Roman" w:hAnsi="Times New Roman"/>
          <w:smallCaps w:val="0"/>
          <w:sz w:val="28"/>
          <w:szCs w:val="28"/>
          <w:rtl w:val="0"/>
        </w:rPr>
        <w:t xml:space="preserve"> = Денежные средства / чистый оборотный капитал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ст.1250 / (ст.1200-ст.1230-ст.1210) – (ст.1500-ст.1530-ст.1550)</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0"/>
        </w:tabs>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0">
      <w:pPr>
        <w:numPr>
          <w:ilvl w:val="0"/>
          <w:numId w:val="10"/>
        </w:num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запасов и краткосрочной задолженности. Характеризует степень зависимости платежеспособности предприятия от запасов при мобилизации средств от их конверсии в деньги для покрытия краткосрочных обязательств.</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373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373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сзкз</w:t>
      </w:r>
      <w:r w:rsidDel="00000000" w:rsidR="00000000" w:rsidRPr="00000000">
        <w:rPr>
          <w:rFonts w:ascii="Times New Roman" w:cs="Times New Roman" w:eastAsia="Times New Roman" w:hAnsi="Times New Roman"/>
          <w:smallCaps w:val="0"/>
          <w:sz w:val="28"/>
          <w:szCs w:val="28"/>
          <w:rtl w:val="0"/>
        </w:rPr>
        <w:t xml:space="preserve"> = Запасы / краткосрочная кредиторская задолженность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373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ст.1210 / (ст.1500-ст.1530-ст.1550)</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0"/>
        </w:tabs>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5">
      <w:pPr>
        <w:numPr>
          <w:ilvl w:val="0"/>
          <w:numId w:val="10"/>
        </w:numPr>
        <w:pBdr>
          <w:top w:space="0" w:sz="0" w:val="nil"/>
          <w:left w:space="0" w:sz="0" w:val="nil"/>
          <w:bottom w:space="0" w:sz="0" w:val="nil"/>
          <w:right w:space="0" w:sz="0" w:val="nil"/>
          <w:between w:space="0" w:sz="0" w:val="nil"/>
        </w:pBdr>
        <w:shd w:fill="auto" w:val="clear"/>
        <w:tabs>
          <w:tab w:val="left" w:pos="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запасов и чистого оборотного капитала. Характеризует долю чистого оборотного капитала связанного в нереализуемых запасах.</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сзчок</w:t>
      </w:r>
      <w:r w:rsidDel="00000000" w:rsidR="00000000" w:rsidRPr="00000000">
        <w:rPr>
          <w:rFonts w:ascii="Times New Roman" w:cs="Times New Roman" w:eastAsia="Times New Roman" w:hAnsi="Times New Roman"/>
          <w:smallCaps w:val="0"/>
          <w:sz w:val="28"/>
          <w:szCs w:val="28"/>
          <w:rtl w:val="0"/>
        </w:rPr>
        <w:t xml:space="preserve"> = Запасы / Чистый оборотный капитал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ст.1210 / (ст.1200-ст.1230-ст.1210) – (ст.1500-ст.1530-ст.1550)</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A">
      <w:pPr>
        <w:numPr>
          <w:ilvl w:val="0"/>
          <w:numId w:val="10"/>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Коэффициент соотношения дебиторской и кредиторской задолженности. Характеризует общее соотношение расчетов по видам задолженности предприятия.</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сдкз</w:t>
      </w:r>
      <w:r w:rsidDel="00000000" w:rsidR="00000000" w:rsidRPr="00000000">
        <w:rPr>
          <w:rFonts w:ascii="Times New Roman" w:cs="Times New Roman" w:eastAsia="Times New Roman" w:hAnsi="Times New Roman"/>
          <w:smallCaps w:val="0"/>
          <w:sz w:val="28"/>
          <w:szCs w:val="28"/>
          <w:rtl w:val="0"/>
        </w:rPr>
        <w:t xml:space="preserve"> = Дебиторская задолженность / Кредиторская задолженность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 1230 / (ст.1500-ст.1530-ст.1550)</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568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Оценка финансовой устойчивости предприятия</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Важными показателями, характеризующими финансовую устойчивость предприятия, являются: коэффициент финансовой независимости (коэффициент автономии); коэффициент финансовой устойчивости; коэффициент маневренности; коэффициент финансовой активности (плечо финансового рычага); финансовый леверидж; коэффициент финансовой зависимости.</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Коэффициент автономии характеризует структуру пассивов, он равен доле собственных средств в общей величине источников средств предприятия. На предприятии сложилась крайне неблагоприятная ситуация, так как значение коэффициента автономии очень низкое. На</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значение коэффициента автономии составило 0,05. Изменение 2013-2011 гг. по данному коэффициенту составило -0,01. Плечо финансового рычага или коэффициент финансовой активности (отношение заемного капитала к собственному), показывает, сколько заемного капитала привлекло предприятие на 1 рубль вложенного в активы собственного капитала. Изменение 2013-2011 гг. по данному коэффициенту составило 2,2. Коэффициент маневренности собственного капитала показывает, какая часть собственного капитала вложена в оборотные средства, то есть находится в той форме, которая позволяет свободно маневрировать этими средствами, а какая капитализирована. Коэффициент должен быть достаточно высоким, чтобы обеспечить гибкость в использовании собственных средств предприятия. На анализируемом предприятии этот показатель за отчетный период увеличился на 0,33 и к концу</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2013 г. составил 0,02. Анализ коэффициентов и оценка динамики их изменений позволяет сделать следующие выводы: Уссурийский почтамт зависит от головной организации, неспособен поддерживать уровень собственного оборотного капитала и пополнять оборотные средства за счет собственных источников. Финансовую устойчивость почтамта можно рассматривать как слабую.</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прохождения учебной практики в Обществе с ограниченной ответственностью «Вектор»были достигнуты поставленные цели, применены теоритические знания, полученные в Вузе,а так же были получены практические навыки по работе экономиста.</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были выполнены следующие задания:</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дана общая характеристика организации;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проанализирована организационная структура предприятия;</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был проведен анализ основных показателей хозяйственной деятельности предприятия;</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разработан комплекс мероприятий по совершенствованию деятельности предприятия.</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наилучшей работы компании следует:более чётко организовать работу компании; постараться снизить краткосрочные обязательства;осуществить регулярный контроль над качеством выполняемых услуг, что приведет к увеличения большего числа постоянных клиентов, нуждающихся в данной услуге.</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современного бизнеса конкурентоспособность любого предприятия, вне зависимости от его размеров, зависит в первую очередь от качества предоставляемых услуг и соизмеримости цены с предлагаемым качеством. Высокое качество услуг, удовлетворяющее ожиданиям потребителя, является важным фактором принятия решений в пользу приобретения именно данного товара или услуги.</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используемых информационных источников</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Конституция РФ</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2.Гражданский кодекс РФ</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Трудовой Кодекс РФ</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6.Экономический анализ. Когденко В.Г 2011 - 399с</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8.Экономический анализ/Под ред. О.Н. Соколовой. – М.: ИНФРА-М, 2011. – 320 ст.</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Экономика. Бардовский В.П, Рудакова О.В, Самородова Е.М 2011 -672ст.</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10.Ершова С.А. Анализ и диагностика финансово-хозяйственной деятельности предприятия: учебное пособие, 2011г. - 155 с.</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11.Теория экономического анализа </w:t>
      </w:r>
      <w:r w:rsidDel="00000000" w:rsidR="00000000" w:rsidRPr="00000000">
        <w:rPr>
          <w:rFonts w:ascii="Times New Roman" w:cs="Times New Roman" w:eastAsia="Times New Roman" w:hAnsi="Times New Roman"/>
          <w:smallCaps w:val="0"/>
          <w:sz w:val="28"/>
          <w:szCs w:val="28"/>
          <w:rtl w:val="0"/>
        </w:rPr>
        <w:t xml:space="preserve">Гальчина О.Н., Пожидаева Т.А. Учебное пособие. - Воронеж: Изд-во ВГУ, 2004. - 67 с.</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705"/>
        </w:tabs>
        <w:spacing w:after="0" w:line="360" w:lineRule="auto"/>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12. Введение в экономический анализ - Макроэкономика - Кормышев-Герасимов – 2009г. -252ст.</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142"/>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Устав ФГУП «Почта России»</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42"/>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Бухгалтерский баланс на 31 декабря 2013 года ФГУП «Почта России».</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42"/>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15.Отчет о финансовых результатах за Январь-Декабрь 2013 года ФГУП «Почта России».</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571" w:hanging="15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291" w:hanging="2291"/>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011" w:hanging="3011"/>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731" w:hanging="3731"/>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451" w:hanging="4451"/>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171" w:hanging="5171"/>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891" w:hanging="5891"/>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611" w:hanging="6611"/>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331" w:hanging="7331"/>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571" w:hanging="15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291" w:hanging="2291"/>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011" w:hanging="3011"/>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731" w:hanging="3731"/>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451" w:hanging="4451"/>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171" w:hanging="5171"/>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891" w:hanging="5891"/>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611" w:hanging="6611"/>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331" w:hanging="7331"/>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1650" w:hanging="16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370" w:hanging="23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090" w:hanging="309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810" w:hanging="381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530" w:hanging="45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250" w:hanging="52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970" w:hanging="59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690" w:hanging="669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410" w:hanging="741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1571" w:hanging="15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291" w:hanging="22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011" w:hanging="301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731" w:hanging="373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451" w:hanging="445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171" w:hanging="51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891" w:hanging="58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611" w:hanging="661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331" w:hanging="733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lowerLetter"/>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1519" w:hanging="151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239" w:hanging="223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79" w:hanging="367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99" w:hanging="439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119" w:hanging="511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839" w:hanging="583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559" w:hanging="65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79" w:hanging="727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pPr>
    <w:rPr>
      <w:rFonts w:ascii="Cambria" w:cs="Cambria" w:eastAsia="Cambria" w:hAnsi="Cambria"/>
      <w:b w:val="1"/>
      <w:i w:val="1"/>
      <w:smallCaps w:val="0"/>
      <w:color w:val="4f81bd"/>
      <w:sz w:val="20"/>
      <w:szCs w:val="2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