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ФГБОУ ВПО Московский государственный гуманитарный университет имени М.А. Шолохова</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Экономико-технологический коледж (на правах факультета)</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360" w:lineRule="auto"/>
        <w:jc w:val="left"/>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ОТЧЕТ</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по преддипломной практике ООО «Вилмаст»</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360" w:lineRule="auto"/>
        <w:ind w:left="6946" w:firstLine="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Выполнил студент:</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360" w:lineRule="auto"/>
        <w:ind w:left="6946" w:firstLine="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Пшеничный В.А.</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360" w:lineRule="auto"/>
        <w:ind w:left="6946" w:firstLine="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Руководитель:</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360" w:lineRule="auto"/>
        <w:ind w:left="6946" w:firstLine="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Сипицын В.Ф</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360" w:lineRule="auto"/>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Москва 2015</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Содержание</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Экономическая характеристика объекта исследования</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Организация бухгалтерского учета на предприятии</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Анализ особенностей организации бухгалтерского учета в организации оптовой торговли ООО "Вилмаст"</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Анализ финансово-хозяйственной деятельности ООО "Вилмаст"</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использованных источников</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Введение</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Студент Пшеничный Виталий Андреевич проходил технологическую практику в организации ООО «Вилмаст» с 06.04.2015 по 18.04.2015.</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Торговля – это обширнейшая область предпринимательской деятельности.</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Предметом бухгалтерского учета в торговле является хозяйственная деятельность торговой организации.</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правильного руководства деятельностью торгового предприятия необходимо располагать полной, точной, объективной, своевременной и достаточно детальной экономической информацией. Это достигается ведением бухгалтерского учета.</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Особенности торговли, как специфической отрасли предпринимательства обуславливают и особенности бухгалтерского учета товарных операций.</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Одной из главных задач бухгалтерского учета в оптовой торговле является правильная организация учета, позволяющая своевременно получать информацию о ходе поступления товаров, о выполнении договорных обязательств поставщиками и покупателями продукции, о состоянии товарных запасов, о ходе отгрузки и реализации ценностей и контроле за их сохранностью.</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Бухгалтерский учет в оптовой торговой организации, как и учет в любой другой коммерческой, должен быть строго регламентирован. Бухгалтерский учет в организациях оптовой торговли регламентирован на всех уровнях нормативного регулирования (законы, постановления, ПБУ, указания и т.д.). Кроме того, бухгалтерский учет в оптовых организациях регулируется учетной </w:t>
      </w:r>
      <w:r w:rsidDel="00000000" w:rsidR="00000000" w:rsidRPr="00000000">
        <w:rPr>
          <w:rFonts w:ascii="Times New Roman" w:cs="Times New Roman" w:eastAsia="Times New Roman" w:hAnsi="Times New Roman"/>
          <w:smallCaps w:val="0"/>
          <w:sz w:val="28"/>
          <w:szCs w:val="28"/>
          <w:u w:val="single"/>
          <w:rtl w:val="0"/>
        </w:rPr>
        <w:t xml:space="preserve">политикой</w:t>
      </w:r>
      <w:r w:rsidDel="00000000" w:rsidR="00000000" w:rsidRPr="00000000">
        <w:rPr>
          <w:rFonts w:ascii="Times New Roman" w:cs="Times New Roman" w:eastAsia="Times New Roman" w:hAnsi="Times New Roman"/>
          <w:smallCaps w:val="0"/>
          <w:sz w:val="28"/>
          <w:szCs w:val="28"/>
          <w:rtl w:val="0"/>
        </w:rPr>
        <w:t xml:space="preserve"> и другими рабочими документами организации.</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процессами в оптовой торговле являются приобретение и реализация оптовых партий товаров.</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Главная цель данной работы – проанализировать особенности бухгалтерского учета в организации оптовой торговли.</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Объектом исследования является ООО "Вилмаст"</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Исходя из поставленной цели, можно сформулировать задачи:</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дать краткую характеристику ООО "Вилмаст", как предприятию оптовой торговли;</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дать оценку организация бухгалтерского учета на исследуемом предприятии</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изучить порядок и особенности учета товаров в организации, определить состав расходов на продажу, порядок их признания и списания</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провести технико-экономический анализ основных показателей торгового предприятия, выявить критические моменты и предложить пути его улучшения;</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Информационной базой анализа является данные первичного учета, инвентаризаций, обследований, данные бухгалтерского учета организации ООО "Вилмаст" за 2008г. и за 2009г.</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 Экономическая характеристика объекта исследования</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Общество с ограниченной ответственностью "Вилмаст" организовано в 1997 году, в соответствии с Гражданским кодексом РФ и Федеральным законом "Об обществах с ограниченной ответственностью"</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"Вилмаст" является коммерческой организацией - юридическим лицом, имеет самостоятельный баланс, печать. Открыт рублевый расчетный счет в Московском городском ОСБ 161/9977 банка Сбербанка РФ.</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Уставный капитал Общества составляет 1000000-00 (Десять тысяч) рублей.</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Высшим органом общества является общее собрание его участников. В обществе избирается исполнительный орган – </w:t>
      </w:r>
      <w:r w:rsidDel="00000000" w:rsidR="00000000" w:rsidRPr="00000000">
        <w:rPr>
          <w:rFonts w:ascii="Times New Roman" w:cs="Times New Roman" w:eastAsia="Times New Roman" w:hAnsi="Times New Roman"/>
          <w:smallCaps w:val="0"/>
          <w:sz w:val="28"/>
          <w:szCs w:val="28"/>
          <w:u w:val="single"/>
          <w:rtl w:val="0"/>
        </w:rPr>
        <w:t xml:space="preserve">директор</w:t>
      </w:r>
      <w:r w:rsidDel="00000000" w:rsidR="00000000" w:rsidRPr="00000000">
        <w:rPr>
          <w:rFonts w:ascii="Times New Roman" w:cs="Times New Roman" w:eastAsia="Times New Roman" w:hAnsi="Times New Roman"/>
          <w:smallCaps w:val="0"/>
          <w:sz w:val="28"/>
          <w:szCs w:val="28"/>
          <w:rtl w:val="0"/>
        </w:rPr>
        <w:t xml:space="preserve"> – сроком на два года, который осуществляет руководство текущей деятельностью общества на основе единоначалия. Цель коммерческой деятельности торгового предприятия ООО "Вилмаст" - получение прибыли.</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со ст. 3 и 4 ФЗ-209 от 24.07.2007 организация относится к субъектам малого предпринимательства.</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Основное направление деятельности компании - это оптовая торговля электротехническим промышленным оборудованием.</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Ассортимент ООО "Вилмаст" включает более 10 тысяч наименований электротехнической продукции: микропроцессорные релейные устройства защиты и управления, устройства защиты электроустановок, низковольтные комплектные устройства и т.п.</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Основной формой хозяйственных связей является договор поставки товаров. Основными реквизитами договора являются наименования сторон (поставщика и покупателя), предмет договора (наименование и количество товара), имущественная ответственность сторон за невыполнение или ненадлежащее выполнение договора, цены, сроки поставки, порядок расчетов и т.д. . Для учета выполнения условий договора на каждый договор открывается карточка, в которую записываются основные условия договора, а затем на основании поступающих приходных документов делаются отметки о его выполнении. Периодически проверяются итоги выполнения договоров и при их не6выполнениии предъявляются претензии поставщикам.</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разовых, эпизодических закупках покупатели по своему усмотрению могут закупать товары без заключения договоров на основе предъявленных заказов (заявок) ими по договоренности сторон путем оформления платежных документов.</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Динамика основных технико-экономических показателей ООО "Вилмаст" представлены в таблице 1.1</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1.1 - Основные технико-экономическими показатели</w:t>
      </w:r>
    </w:p>
    <w:tbl>
      <w:tblPr>
        <w:tblStyle w:val="Table1"/>
        <w:tblW w:w="739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4"/>
        <w:gridCol w:w="925"/>
        <w:gridCol w:w="925"/>
        <w:gridCol w:w="1153.9999999999998"/>
        <w:tblGridChange w:id="0">
          <w:tblGrid>
            <w:gridCol w:w="4394"/>
            <w:gridCol w:w="925"/>
            <w:gridCol w:w="925"/>
            <w:gridCol w:w="115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2009 г.</w:t>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2008 г.</w:t>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Изменение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Выручка,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13587,4</w:t>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11896,5</w:t>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1690,9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Себестоимость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8391,6</w:t>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7764,3</w:t>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627,3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Валовая прибыль,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5195,8</w:t>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4132,2</w:t>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1063,6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Чистая прибыль,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1362</w:t>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935,2</w:t>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426,8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Фонд оплаты труда,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265</w:t>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198,7</w:t>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Среднегодовая заработная плата,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15,6</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11,7</w:t>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Издержки обращения,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3493,3</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2963,2</w:t>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530,1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Средние товарные запасы,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3211,3</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2457,9</w:t>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753,4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Средняя стоимость основных средств,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484,9</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554,5</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-69,6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Среднесписочная численность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Прибыль от реализации,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1702,5</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1169</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533,5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Рентабельность продаж, %</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12,5</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9,8</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2,7</w:t>
            </w:r>
          </w:p>
        </w:tc>
      </w:tr>
    </w:tbl>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основе анализа представленных в таблице данных сделаны следующие выводы. Основными показателями хозяйственной деятельности являются оптовый товарооборот, уровень валового дохода, уровень издержек обращения, прибыль (убыток) от реализации товаров. Оптовый товарооборот вырос на 1690,9 тыс. руб по сравнению с прошлым годом.</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"Вилмаст" работает с положительными результатами в течение 2008-2009 гг. Если в 2008 г. рентабельность продаж составила 9,8 %, то к 2009 г. она возросла на 2,7 % и составила 12,5 %.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Изменение выручки показано на рисунке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Изменение выручки ООО "Вилмаст"</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Как видно из диаграмм выручка в организации выросла на 1690,9 тыс.руб.</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Вследствие увеличения выручки увеличилась валовая прибыль на 1063,6тыс. руб., что показано на рисунке 1.2</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Изменение валовой прибыли ООО"Вилмаст"</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Чистая прибыль так же увеличилась на 426,8 тыс.руб., что показано на рисунке</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Организационная структура ООО "Вилмаст"</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Управлением предприятия в целом занимается генеральный </w:t>
      </w:r>
      <w:r w:rsidDel="00000000" w:rsidR="00000000" w:rsidRPr="00000000">
        <w:rPr>
          <w:rFonts w:ascii="Times New Roman" w:cs="Times New Roman" w:eastAsia="Times New Roman" w:hAnsi="Times New Roman"/>
          <w:smallCaps w:val="0"/>
          <w:sz w:val="28"/>
          <w:szCs w:val="28"/>
          <w:u w:val="single"/>
          <w:rtl w:val="0"/>
        </w:rPr>
        <w:t xml:space="preserve">директор</w:t>
      </w:r>
      <w:r w:rsidDel="00000000" w:rsidR="00000000" w:rsidRPr="00000000">
        <w:rPr>
          <w:rFonts w:ascii="Times New Roman" w:cs="Times New Roman" w:eastAsia="Times New Roman" w:hAnsi="Times New Roman"/>
          <w:smallCaps w:val="0"/>
          <w:sz w:val="28"/>
          <w:szCs w:val="28"/>
          <w:rtl w:val="0"/>
        </w:rPr>
        <w:t xml:space="preserve">. В его ведении находятся вопросы стратегического характера.</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Контроль предприятия проводится с помощью заместителя генерального директора. В обязанности заместителя генерального </w:t>
      </w:r>
      <w:r w:rsidDel="00000000" w:rsidR="00000000" w:rsidRPr="00000000">
        <w:rPr>
          <w:rFonts w:ascii="Times New Roman" w:cs="Times New Roman" w:eastAsia="Times New Roman" w:hAnsi="Times New Roman"/>
          <w:smallCaps w:val="0"/>
          <w:sz w:val="28"/>
          <w:szCs w:val="28"/>
          <w:u w:val="single"/>
          <w:rtl w:val="0"/>
        </w:rPr>
        <w:t xml:space="preserve">директора</w:t>
      </w:r>
      <w:r w:rsidDel="00000000" w:rsidR="00000000" w:rsidRPr="00000000">
        <w:rPr>
          <w:rFonts w:ascii="Times New Roman" w:cs="Times New Roman" w:eastAsia="Times New Roman" w:hAnsi="Times New Roman"/>
          <w:smallCaps w:val="0"/>
          <w:sz w:val="28"/>
          <w:szCs w:val="28"/>
          <w:rtl w:val="0"/>
        </w:rPr>
        <w:t xml:space="preserve"> входит как контроль бухгалтерии и менеджмента, так и участие в переговорах, решение текущих финансовых и юридических вопросов, связанные с управлением и бесперебойным функционированием организации. Таким образом, на основании выполненной работы заместителя, генеральный </w:t>
      </w:r>
      <w:r w:rsidDel="00000000" w:rsidR="00000000" w:rsidRPr="00000000">
        <w:rPr>
          <w:rFonts w:ascii="Times New Roman" w:cs="Times New Roman" w:eastAsia="Times New Roman" w:hAnsi="Times New Roman"/>
          <w:smallCaps w:val="0"/>
          <w:sz w:val="28"/>
          <w:szCs w:val="28"/>
          <w:u w:val="single"/>
          <w:rtl w:val="0"/>
        </w:rPr>
        <w:t xml:space="preserve">директор</w:t>
      </w:r>
      <w:r w:rsidDel="00000000" w:rsidR="00000000" w:rsidRPr="00000000">
        <w:rPr>
          <w:rFonts w:ascii="Times New Roman" w:cs="Times New Roman" w:eastAsia="Times New Roman" w:hAnsi="Times New Roman"/>
          <w:smallCaps w:val="0"/>
          <w:sz w:val="28"/>
          <w:szCs w:val="28"/>
          <w:rtl w:val="0"/>
        </w:rPr>
        <w:t xml:space="preserve"> может объективно оценить состояние предприятия в целом и эффективность работы подразделений. На основании полученных данных принимаются соответствующие управленческие решения.</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Главный бухгалтер в процессе выполнения своих обязанностей проводит контроль всех отделовбухгалтерии, а также все проводимые в процессе деятельности финансовые операции. Также в обязанности</w:t>
      </w:r>
      <w:r w:rsidDel="00000000" w:rsidR="00000000" w:rsidRPr="00000000">
        <w:rPr>
          <w:rFonts w:ascii="Times New Roman" w:cs="Times New Roman" w:eastAsia="Times New Roman" w:hAnsi="Times New Roman"/>
          <w:smallCaps w:val="0"/>
          <w:sz w:val="28"/>
          <w:szCs w:val="28"/>
          <w:u w:val="single"/>
          <w:rtl w:val="0"/>
        </w:rPr>
        <w:t xml:space="preserve">главного бухгалтера</w:t>
      </w:r>
      <w:r w:rsidDel="00000000" w:rsidR="00000000" w:rsidRPr="00000000">
        <w:rPr>
          <w:rFonts w:ascii="Times New Roman" w:cs="Times New Roman" w:eastAsia="Times New Roman" w:hAnsi="Times New Roman"/>
          <w:smallCaps w:val="0"/>
          <w:sz w:val="28"/>
          <w:szCs w:val="28"/>
          <w:rtl w:val="0"/>
        </w:rPr>
        <w:t xml:space="preserve"> входят составление отчетности и своевременная сдача ее в налоговые органы. По итогам месяца главный бухгалтер представляет отчет о выполненной работе, а также итоги работы за месяц заместителю генерального директора.</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Начальник отдела продаж проводит контроль над </w:t>
      </w:r>
      <w:r w:rsidDel="00000000" w:rsidR="00000000" w:rsidRPr="00000000">
        <w:rPr>
          <w:rFonts w:ascii="Times New Roman" w:cs="Times New Roman" w:eastAsia="Times New Roman" w:hAnsi="Times New Roman"/>
          <w:smallCaps w:val="0"/>
          <w:sz w:val="28"/>
          <w:szCs w:val="28"/>
          <w:u w:val="single"/>
          <w:rtl w:val="0"/>
        </w:rPr>
        <w:t xml:space="preserve">менеджерами по продажам</w:t>
      </w:r>
      <w:r w:rsidDel="00000000" w:rsidR="00000000" w:rsidRPr="00000000">
        <w:rPr>
          <w:rFonts w:ascii="Times New Roman" w:cs="Times New Roman" w:eastAsia="Times New Roman" w:hAnsi="Times New Roman"/>
          <w:smallCaps w:val="0"/>
          <w:sz w:val="28"/>
          <w:szCs w:val="28"/>
          <w:rtl w:val="0"/>
        </w:rPr>
        <w:t xml:space="preserve">, в том числе за заключенными договорами и правильностью их оформления. Так же проводится статистика отгрузки за период, выявляет наиболее востребованный товар. Должностные обязанности начальника отдела закупок схожи с обязанностями начальника отдела продаж. Работа его заключается, в первую очередь, в изучении именно отгрузок, для того чтобы принять решение какой именно товар будет пользоваться спросом.</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u w:val="single"/>
          <w:rtl w:val="0"/>
        </w:rPr>
        <w:t xml:space="preserve">Менеджеры по продажам</w:t>
      </w:r>
      <w:r w:rsidDel="00000000" w:rsidR="00000000" w:rsidRPr="00000000">
        <w:rPr>
          <w:rFonts w:ascii="Times New Roman" w:cs="Times New Roman" w:eastAsia="Times New Roman" w:hAnsi="Times New Roman"/>
          <w:smallCaps w:val="0"/>
          <w:sz w:val="28"/>
          <w:szCs w:val="28"/>
          <w:rtl w:val="0"/>
        </w:rPr>
        <w:t xml:space="preserve"> в своей работе, в первую очередь, занимаются отгрузкой товара, начиная с принятия заявки от клиента и до момента погрузки товара в транспорт. </w:t>
      </w:r>
      <w:r w:rsidDel="00000000" w:rsidR="00000000" w:rsidRPr="00000000">
        <w:rPr>
          <w:rFonts w:ascii="Times New Roman" w:cs="Times New Roman" w:eastAsia="Times New Roman" w:hAnsi="Times New Roman"/>
          <w:smallCaps w:val="0"/>
          <w:sz w:val="28"/>
          <w:szCs w:val="28"/>
          <w:u w:val="single"/>
          <w:rtl w:val="0"/>
        </w:rPr>
        <w:t xml:space="preserve">Менеджеры по продажам</w:t>
      </w:r>
      <w:r w:rsidDel="00000000" w:rsidR="00000000" w:rsidRPr="00000000">
        <w:rPr>
          <w:rFonts w:ascii="Times New Roman" w:cs="Times New Roman" w:eastAsia="Times New Roman" w:hAnsi="Times New Roman"/>
          <w:smallCaps w:val="0"/>
          <w:sz w:val="28"/>
          <w:szCs w:val="28"/>
          <w:rtl w:val="0"/>
        </w:rPr>
        <w:t xml:space="preserve"> информируют уже имеющихся клиентов о новых товарах, занимаются поиском новых клиентов.</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Работа </w:t>
      </w:r>
      <w:r w:rsidDel="00000000" w:rsidR="00000000" w:rsidRPr="00000000">
        <w:rPr>
          <w:rFonts w:ascii="Times New Roman" w:cs="Times New Roman" w:eastAsia="Times New Roman" w:hAnsi="Times New Roman"/>
          <w:smallCaps w:val="0"/>
          <w:sz w:val="28"/>
          <w:szCs w:val="28"/>
          <w:u w:val="single"/>
          <w:rtl w:val="0"/>
        </w:rPr>
        <w:t xml:space="preserve">менеджеров по закупке</w:t>
      </w:r>
      <w:r w:rsidDel="00000000" w:rsidR="00000000" w:rsidRPr="00000000">
        <w:rPr>
          <w:rFonts w:ascii="Times New Roman" w:cs="Times New Roman" w:eastAsia="Times New Roman" w:hAnsi="Times New Roman"/>
          <w:smallCaps w:val="0"/>
          <w:sz w:val="28"/>
          <w:szCs w:val="28"/>
          <w:rtl w:val="0"/>
        </w:rPr>
        <w:t xml:space="preserve"> схожа с работой менеджеров по продаже. В должностные обязанности менеджера входят поиск выгодных партнеров, грузового транспорта для перевозки товара с территории поставщика на территорию базы.</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Отделы </w:t>
      </w:r>
      <w:r w:rsidDel="00000000" w:rsidR="00000000" w:rsidRPr="00000000">
        <w:rPr>
          <w:rFonts w:ascii="Times New Roman" w:cs="Times New Roman" w:eastAsia="Times New Roman" w:hAnsi="Times New Roman"/>
          <w:smallCaps w:val="0"/>
          <w:sz w:val="28"/>
          <w:szCs w:val="28"/>
          <w:u w:val="single"/>
          <w:rtl w:val="0"/>
        </w:rPr>
        <w:t xml:space="preserve">бухгалтерии</w:t>
      </w:r>
      <w:r w:rsidDel="00000000" w:rsidR="00000000" w:rsidRPr="00000000">
        <w:rPr>
          <w:rFonts w:ascii="Times New Roman" w:cs="Times New Roman" w:eastAsia="Times New Roman" w:hAnsi="Times New Roman"/>
          <w:smallCaps w:val="0"/>
          <w:sz w:val="28"/>
          <w:szCs w:val="28"/>
          <w:rtl w:val="0"/>
        </w:rPr>
        <w:t xml:space="preserve">, менеджеры по закупке и менеджеры по продаже в процессе деятельности тесно связаны между собой. Работа каждого конкретно взятого отдела влияет на работу всех остальных.</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бухгалтерский учет расход продажа</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 Организация бухгалтерского учета на предприятии</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 </w:t>
      </w:r>
      <w:r w:rsidDel="00000000" w:rsidR="00000000" w:rsidRPr="00000000">
        <w:rPr>
          <w:rFonts w:ascii="Times New Roman" w:cs="Times New Roman" w:eastAsia="Times New Roman" w:hAnsi="Times New Roman"/>
          <w:smallCaps w:val="0"/>
          <w:sz w:val="28"/>
          <w:szCs w:val="28"/>
          <w:u w:val="single"/>
          <w:rtl w:val="0"/>
        </w:rPr>
        <w:t xml:space="preserve">бухгалтерии</w:t>
      </w:r>
      <w:r w:rsidDel="00000000" w:rsidR="00000000" w:rsidRPr="00000000">
        <w:rPr>
          <w:rFonts w:ascii="Times New Roman" w:cs="Times New Roman" w:eastAsia="Times New Roman" w:hAnsi="Times New Roman"/>
          <w:smallCaps w:val="0"/>
          <w:sz w:val="28"/>
          <w:szCs w:val="28"/>
          <w:rtl w:val="0"/>
        </w:rPr>
        <w:t xml:space="preserve"> выполняет текущую работу по сбору, регистрации и учету первичной документации. Отделбухгалтерии состоит из нескольких участков. Структура </w:t>
      </w:r>
      <w:r w:rsidDel="00000000" w:rsidR="00000000" w:rsidRPr="00000000">
        <w:rPr>
          <w:rFonts w:ascii="Times New Roman" w:cs="Times New Roman" w:eastAsia="Times New Roman" w:hAnsi="Times New Roman"/>
          <w:smallCaps w:val="0"/>
          <w:sz w:val="28"/>
          <w:szCs w:val="28"/>
          <w:u w:val="single"/>
          <w:rtl w:val="0"/>
        </w:rPr>
        <w:t xml:space="preserve">бухгалтерии</w:t>
      </w:r>
      <w:r w:rsidDel="00000000" w:rsidR="00000000" w:rsidRPr="00000000">
        <w:rPr>
          <w:rFonts w:ascii="Times New Roman" w:cs="Times New Roman" w:eastAsia="Times New Roman" w:hAnsi="Times New Roman"/>
          <w:smallCaps w:val="0"/>
          <w:sz w:val="28"/>
          <w:szCs w:val="28"/>
          <w:rtl w:val="0"/>
        </w:rPr>
        <w:t xml:space="preserve"> ООО "Вилмаст" представлена на рисунке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Обязанность по ведению счета "Касса" на данном предприятии возложена на </w:t>
      </w:r>
      <w:r w:rsidDel="00000000" w:rsidR="00000000" w:rsidRPr="00000000">
        <w:rPr>
          <w:rFonts w:ascii="Times New Roman" w:cs="Times New Roman" w:eastAsia="Times New Roman" w:hAnsi="Times New Roman"/>
          <w:smallCaps w:val="0"/>
          <w:sz w:val="28"/>
          <w:szCs w:val="28"/>
          <w:u w:val="single"/>
          <w:rtl w:val="0"/>
        </w:rPr>
        <w:t xml:space="preserve">кассира</w:t>
      </w:r>
      <w:r w:rsidDel="00000000" w:rsidR="00000000" w:rsidRPr="00000000">
        <w:rPr>
          <w:rFonts w:ascii="Times New Roman" w:cs="Times New Roman" w:eastAsia="Times New Roman" w:hAnsi="Times New Roman"/>
          <w:smallCaps w:val="0"/>
          <w:sz w:val="28"/>
          <w:szCs w:val="28"/>
          <w:rtl w:val="0"/>
        </w:rPr>
        <w:t xml:space="preserve">. В его обязанности входит: ведение кассовых отчетов на основании приходных и расходных кассовых ордеров, выплата заработной платы и аванса сотрудникам, выдача денежных средств под отчет.</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Оплата за товар проводится по безналичному расчету и осуществляется на счете 51 "Расчетный счет". Данный счет ведется </w:t>
      </w:r>
      <w:r w:rsidDel="00000000" w:rsidR="00000000" w:rsidRPr="00000000">
        <w:rPr>
          <w:rFonts w:ascii="Times New Roman" w:cs="Times New Roman" w:eastAsia="Times New Roman" w:hAnsi="Times New Roman"/>
          <w:smallCaps w:val="0"/>
          <w:sz w:val="28"/>
          <w:szCs w:val="28"/>
          <w:u w:val="single"/>
          <w:rtl w:val="0"/>
        </w:rPr>
        <w:t xml:space="preserve">бухгалтером</w:t>
      </w:r>
      <w:r w:rsidDel="00000000" w:rsidR="00000000" w:rsidRPr="00000000">
        <w:rPr>
          <w:rFonts w:ascii="Times New Roman" w:cs="Times New Roman" w:eastAsia="Times New Roman" w:hAnsi="Times New Roman"/>
          <w:smallCaps w:val="0"/>
          <w:sz w:val="28"/>
          <w:szCs w:val="28"/>
          <w:rtl w:val="0"/>
        </w:rPr>
        <w:t xml:space="preserve">, в обязанности которого входит: своевременное внесение в базу данных банковских выписок, набор платежных поручений.</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Оплата за услуги, учитываемые на счете 76, также проходит по безналичному расчету. В обязанностибухгалтера данного участка входит своевременная оплата за коммунальные услуги, услуги связи и т.д. Также</w:t>
      </w:r>
      <w:r w:rsidDel="00000000" w:rsidR="00000000" w:rsidRPr="00000000">
        <w:rPr>
          <w:rFonts w:ascii="Times New Roman" w:cs="Times New Roman" w:eastAsia="Times New Roman" w:hAnsi="Times New Roman"/>
          <w:smallCaps w:val="0"/>
          <w:sz w:val="28"/>
          <w:szCs w:val="28"/>
          <w:u w:val="single"/>
          <w:rtl w:val="0"/>
        </w:rPr>
        <w:t xml:space="preserve">бухгалтер</w:t>
      </w:r>
      <w:r w:rsidDel="00000000" w:rsidR="00000000" w:rsidRPr="00000000">
        <w:rPr>
          <w:rFonts w:ascii="Times New Roman" w:cs="Times New Roman" w:eastAsia="Times New Roman" w:hAnsi="Times New Roman"/>
          <w:smallCaps w:val="0"/>
          <w:sz w:val="28"/>
          <w:szCs w:val="28"/>
          <w:rtl w:val="0"/>
        </w:rPr>
        <w:t xml:space="preserve"> этого участка проводит контроль над оплатой транспортных услуг. Счета на оплату транспорта вбухгалтерию этого участка передают менеджеры по закупкам после получения данной услуги.</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Счет 41 "Товар" ведет бухгалтер-материалист, который контролирует движение товара. В обязанности бухгалтера-материалиста входит: своевременное выявление расхождения данных складского и бухгалтерского учета, а так же выяснить в чем заключаются причины расхождений, организация ревизий как плановых, так и внеплановых.</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Расчеты с поставщиками ведутся на счете 60. Важным моментом в работе предприятия является контроль за правильным оформлением накладных и счетов-фактур, соответствие фактического поступления товара данным, указанным в накладных. Помимо всего </w:t>
      </w:r>
      <w:r w:rsidDel="00000000" w:rsidR="00000000" w:rsidRPr="00000000">
        <w:rPr>
          <w:rFonts w:ascii="Times New Roman" w:cs="Times New Roman" w:eastAsia="Times New Roman" w:hAnsi="Times New Roman"/>
          <w:smallCaps w:val="0"/>
          <w:sz w:val="28"/>
          <w:szCs w:val="28"/>
          <w:u w:val="single"/>
          <w:rtl w:val="0"/>
        </w:rPr>
        <w:t xml:space="preserve">бухгалтер</w:t>
      </w:r>
      <w:r w:rsidDel="00000000" w:rsidR="00000000" w:rsidRPr="00000000">
        <w:rPr>
          <w:rFonts w:ascii="Times New Roman" w:cs="Times New Roman" w:eastAsia="Times New Roman" w:hAnsi="Times New Roman"/>
          <w:smallCaps w:val="0"/>
          <w:sz w:val="28"/>
          <w:szCs w:val="28"/>
          <w:rtl w:val="0"/>
        </w:rPr>
        <w:t xml:space="preserve"> сверяет данные учета с данными поставщиков с помощью актов сверки.</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Практически аналогичные функции исполняет бухгалтер, ведущий счет 62 "Покупатели". Разница на этом участке заключается в том, что взаимодействие бухгалтерии и менеджмента проходит в рамках продажи.</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его обязанности </w:t>
      </w:r>
      <w:r w:rsidDel="00000000" w:rsidR="00000000" w:rsidRPr="00000000">
        <w:rPr>
          <w:rFonts w:ascii="Times New Roman" w:cs="Times New Roman" w:eastAsia="Times New Roman" w:hAnsi="Times New Roman"/>
          <w:smallCaps w:val="0"/>
          <w:sz w:val="28"/>
          <w:szCs w:val="28"/>
          <w:u w:val="single"/>
          <w:rtl w:val="0"/>
        </w:rPr>
        <w:t xml:space="preserve">бухгалтера</w:t>
      </w:r>
      <w:r w:rsidDel="00000000" w:rsidR="00000000" w:rsidRPr="00000000">
        <w:rPr>
          <w:rFonts w:ascii="Times New Roman" w:cs="Times New Roman" w:eastAsia="Times New Roman" w:hAnsi="Times New Roman"/>
          <w:smallCaps w:val="0"/>
          <w:sz w:val="28"/>
          <w:szCs w:val="28"/>
          <w:rtl w:val="0"/>
        </w:rPr>
        <w:t xml:space="preserve"> ведущего счета 01 "Основные средства", 04 "НМА" входит составления всей необходимой первичной документации, правильное отнесение объектов к основным средствам и НМА, правильное применение выбранного способа начисления амортизации. </w:t>
      </w:r>
      <w:r w:rsidDel="00000000" w:rsidR="00000000" w:rsidRPr="00000000">
        <w:rPr>
          <w:rFonts w:ascii="Times New Roman" w:cs="Times New Roman" w:eastAsia="Times New Roman" w:hAnsi="Times New Roman"/>
          <w:smallCaps w:val="0"/>
          <w:sz w:val="28"/>
          <w:szCs w:val="28"/>
          <w:u w:val="single"/>
          <w:rtl w:val="0"/>
        </w:rPr>
        <w:t xml:space="preserve">Бухгалтер</w:t>
      </w:r>
      <w:r w:rsidDel="00000000" w:rsidR="00000000" w:rsidRPr="00000000">
        <w:rPr>
          <w:rFonts w:ascii="Times New Roman" w:cs="Times New Roman" w:eastAsia="Times New Roman" w:hAnsi="Times New Roman"/>
          <w:smallCaps w:val="0"/>
          <w:sz w:val="28"/>
          <w:szCs w:val="28"/>
          <w:rtl w:val="0"/>
        </w:rPr>
        <w:t xml:space="preserve"> данного участка контролирует сохранность основных средств и момент передачи основного средства от одного материально-ответственного лица другому.</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окончании отчетного месяца все участки бухгалтерии обязаны сдать отчет о выполненной работе </w:t>
      </w:r>
      <w:r w:rsidDel="00000000" w:rsidR="00000000" w:rsidRPr="00000000">
        <w:rPr>
          <w:rFonts w:ascii="Times New Roman" w:cs="Times New Roman" w:eastAsia="Times New Roman" w:hAnsi="Times New Roman"/>
          <w:smallCaps w:val="0"/>
          <w:sz w:val="28"/>
          <w:szCs w:val="28"/>
          <w:u w:val="single"/>
          <w:rtl w:val="0"/>
        </w:rPr>
        <w:t xml:space="preserve">главному бухгалтеру</w:t>
      </w:r>
      <w:r w:rsidDel="00000000" w:rsidR="00000000" w:rsidRPr="00000000">
        <w:rPr>
          <w:rFonts w:ascii="Times New Roman" w:cs="Times New Roman" w:eastAsia="Times New Roman" w:hAnsi="Times New Roman"/>
          <w:smallCaps w:val="0"/>
          <w:sz w:val="28"/>
          <w:szCs w:val="28"/>
          <w:rtl w:val="0"/>
        </w:rPr>
        <w:t xml:space="preserve">, в которых отражены данные дебиторской и кредиторской задолженности, вопросы, которые требуют решения в ближайшее время, долги </w:t>
      </w:r>
      <w:r w:rsidDel="00000000" w:rsidR="00000000" w:rsidRPr="00000000">
        <w:rPr>
          <w:rFonts w:ascii="Times New Roman" w:cs="Times New Roman" w:eastAsia="Times New Roman" w:hAnsi="Times New Roman"/>
          <w:smallCaps w:val="0"/>
          <w:sz w:val="28"/>
          <w:szCs w:val="28"/>
          <w:u w:val="single"/>
          <w:rtl w:val="0"/>
        </w:rPr>
        <w:t xml:space="preserve">менеджеров</w:t>
      </w:r>
      <w:r w:rsidDel="00000000" w:rsidR="00000000" w:rsidRPr="00000000">
        <w:rPr>
          <w:rFonts w:ascii="Times New Roman" w:cs="Times New Roman" w:eastAsia="Times New Roman" w:hAnsi="Times New Roman"/>
          <w:smallCaps w:val="0"/>
          <w:sz w:val="28"/>
          <w:szCs w:val="28"/>
          <w:rtl w:val="0"/>
        </w:rPr>
        <w:t xml:space="preserve"> по первичной документации и т.д.</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предприятии применяется журнально-ордерная форма учета. При использовании для ведения бухгалтерского учета вычислительной техники журналы-ордера формируются применяемым программным обеспечением.</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организации ООО "Вилмаст" используется компьютерная программа "1С: Предприятие", а именно 1С:</w:t>
      </w:r>
      <w:r w:rsidDel="00000000" w:rsidR="00000000" w:rsidRPr="00000000">
        <w:rPr>
          <w:rFonts w:ascii="Times New Roman" w:cs="Times New Roman" w:eastAsia="Times New Roman" w:hAnsi="Times New Roman"/>
          <w:smallCaps w:val="0"/>
          <w:sz w:val="28"/>
          <w:szCs w:val="28"/>
          <w:u w:val="single"/>
          <w:rtl w:val="0"/>
        </w:rPr>
        <w:t xml:space="preserve">Бухгалтерия</w:t>
      </w:r>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Налоговый учет ведется организацией на основании унифицированных форм первичной учетной документации и регистров по компьютерной программе 1С версия 7.7.</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Порядок документооборота в организации также определяется </w:t>
      </w:r>
      <w:r w:rsidDel="00000000" w:rsidR="00000000" w:rsidRPr="00000000">
        <w:rPr>
          <w:rFonts w:ascii="Times New Roman" w:cs="Times New Roman" w:eastAsia="Times New Roman" w:hAnsi="Times New Roman"/>
          <w:smallCaps w:val="0"/>
          <w:sz w:val="28"/>
          <w:szCs w:val="28"/>
          <w:u w:val="single"/>
          <w:rtl w:val="0"/>
        </w:rPr>
        <w:t xml:space="preserve">главным бухгалтером</w:t>
      </w:r>
      <w:r w:rsidDel="00000000" w:rsidR="00000000" w:rsidRPr="00000000">
        <w:rPr>
          <w:rFonts w:ascii="Times New Roman" w:cs="Times New Roman" w:eastAsia="Times New Roman" w:hAnsi="Times New Roman"/>
          <w:smallCaps w:val="0"/>
          <w:sz w:val="28"/>
          <w:szCs w:val="28"/>
          <w:rtl w:val="0"/>
        </w:rPr>
        <w:t xml:space="preserve"> в учетной политике. Документооборот - это путь, который проходят документы от момента их выписки до сдачи в архив. В графике документооборота определяется круг лиц, ответственных за оформление документов, указывается порядок, место и время прохождения документа с момента составления до сдачи в архив.</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Записи в счетах бухгалтерского учета основываются на документах. Бухгалтерский документ является письменным подтверждением на право совершения или действительного совершения хозяйственной операции.</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Распорядительные документы содержат распоряжение на совершение определенных хозяйственных операций. Такими документами являются приказы, распоряжения и т.п. Распорядительные документы не подтверждают факты совершения хозяйственных операций и поэтому не являются основанием для отражения их в учете</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Оправдательные документы - это документы, удостоверяющие факт совершения хозяйственных операций. К таким документам относятся накладные, приемо-сдаточные акты и пр.</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Комбинированные документы - это бухгалтерские документы, сочетающие в себе признаки нескольких видов документов. Например, расходные кассовые и приходные кассовые ордера являются одновременно распорядительными.</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Документы учетного оформления составляются для подготовки и упрощения учетных записей. Это распределительные и группировочные ведомости, расчеты, бухгалтерские справки, и т.д.</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Первичные документы - это документы, которые составляются в момент совершения хозяйственных операций и являются первым свидетельством их совершения. Составление первичного документа является началом учетной регистрации хозяйственных операций. Первичными документами являются приходные и расходные кассовые ордера, накладные, наряды, квитанции и пр. Первичные документы составлятются на бумажных и машинных носителях информации.</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завершения хозяйственной операции надлежащим образом оформленные и подписанные документы передаются в </w:t>
      </w:r>
      <w:r w:rsidDel="00000000" w:rsidR="00000000" w:rsidRPr="00000000">
        <w:rPr>
          <w:rFonts w:ascii="Times New Roman" w:cs="Times New Roman" w:eastAsia="Times New Roman" w:hAnsi="Times New Roman"/>
          <w:smallCaps w:val="0"/>
          <w:sz w:val="28"/>
          <w:szCs w:val="28"/>
          <w:u w:val="single"/>
          <w:rtl w:val="0"/>
        </w:rPr>
        <w:t xml:space="preserve">бухгалтерию</w:t>
      </w:r>
      <w:r w:rsidDel="00000000" w:rsidR="00000000" w:rsidRPr="00000000">
        <w:rPr>
          <w:rFonts w:ascii="Times New Roman" w:cs="Times New Roman" w:eastAsia="Times New Roman" w:hAnsi="Times New Roman"/>
          <w:smallCaps w:val="0"/>
          <w:sz w:val="28"/>
          <w:szCs w:val="28"/>
          <w:rtl w:val="0"/>
        </w:rPr>
        <w:t xml:space="preserve">. В бухгалтерии также устанавливается определенный порядок обработки документов. Здесь документы проверяются по форме и содержанию, группируются по однородным признакам и служат основанием для записей в учетных регистрах.</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окончании отчетного периода (месяца, квартала, года) документы переплетаются в папки и хранятся в архиве организации.</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Работу по составлению графика документооборота организует </w:t>
      </w:r>
      <w:r w:rsidDel="00000000" w:rsidR="00000000" w:rsidRPr="00000000">
        <w:rPr>
          <w:rFonts w:ascii="Times New Roman" w:cs="Times New Roman" w:eastAsia="Times New Roman" w:hAnsi="Times New Roman"/>
          <w:smallCaps w:val="0"/>
          <w:sz w:val="28"/>
          <w:szCs w:val="28"/>
          <w:u w:val="single"/>
          <w:rtl w:val="0"/>
        </w:rPr>
        <w:t xml:space="preserve">главный бухгалтер</w:t>
      </w:r>
      <w:r w:rsidDel="00000000" w:rsidR="00000000" w:rsidRPr="00000000">
        <w:rPr>
          <w:rFonts w:ascii="Times New Roman" w:cs="Times New Roman" w:eastAsia="Times New Roman" w:hAnsi="Times New Roman"/>
          <w:smallCaps w:val="0"/>
          <w:sz w:val="28"/>
          <w:szCs w:val="28"/>
          <w:rtl w:val="0"/>
        </w:rPr>
        <w:t xml:space="preserve">. Утверждает график документооборота </w:t>
      </w:r>
      <w:r w:rsidDel="00000000" w:rsidR="00000000" w:rsidRPr="00000000">
        <w:rPr>
          <w:rFonts w:ascii="Times New Roman" w:cs="Times New Roman" w:eastAsia="Times New Roman" w:hAnsi="Times New Roman"/>
          <w:smallCaps w:val="0"/>
          <w:sz w:val="28"/>
          <w:szCs w:val="28"/>
          <w:u w:val="single"/>
          <w:rtl w:val="0"/>
        </w:rPr>
        <w:t xml:space="preserve">руководитель</w:t>
      </w:r>
      <w:r w:rsidDel="00000000" w:rsidR="00000000" w:rsidRPr="00000000">
        <w:rPr>
          <w:rFonts w:ascii="Times New Roman" w:cs="Times New Roman" w:eastAsia="Times New Roman" w:hAnsi="Times New Roman"/>
          <w:smallCaps w:val="0"/>
          <w:sz w:val="28"/>
          <w:szCs w:val="28"/>
          <w:rtl w:val="0"/>
        </w:rPr>
        <w:t xml:space="preserve"> организации.</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данным бухгалтерского и налогового учета программа 1С версия 7.7 формирует бухгалтерскую и налоговую отчетность.</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Отчетным годом для предприятии устанавливается период с 1 января по 31 декабря включительно.</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Бухгалтерская отчетность как единая система данных о финансовом положении организации, финансовых результатах ее деятельности и изменениях в ее финансовом положении составляется на основе данных бухгалтерского учета.</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Организация представляет в обязательном порядке годовую бухгалтерскую отчетность:</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учредителям, участникам юридического лица в соответствии с учредительными документами;</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государственной налоговой инспекции (в одном экземпляре).</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Учетной </w:t>
      </w:r>
      <w:r w:rsidDel="00000000" w:rsidR="00000000" w:rsidRPr="00000000">
        <w:rPr>
          <w:rFonts w:ascii="Times New Roman" w:cs="Times New Roman" w:eastAsia="Times New Roman" w:hAnsi="Times New Roman"/>
          <w:smallCaps w:val="0"/>
          <w:sz w:val="28"/>
          <w:szCs w:val="28"/>
          <w:u w:val="single"/>
          <w:rtl w:val="0"/>
        </w:rPr>
        <w:t xml:space="preserve">политикой</w:t>
      </w:r>
      <w:r w:rsidDel="00000000" w:rsidR="00000000" w:rsidRPr="00000000">
        <w:rPr>
          <w:rFonts w:ascii="Times New Roman" w:cs="Times New Roman" w:eastAsia="Times New Roman" w:hAnsi="Times New Roman"/>
          <w:smallCaps w:val="0"/>
          <w:sz w:val="28"/>
          <w:szCs w:val="28"/>
          <w:rtl w:val="0"/>
        </w:rPr>
        <w:t xml:space="preserve"> закреплена совокупность способов бухгалтерского учета, используемых обществом, — первичного наблюдения, стоимостного измерения, текущей группировки и итогового обобщения фактов хозяйственной жизни предприятия.</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Ответственность за организацию бухгалтерского учета на предприятии, соблюдение законодательства при выполнении хозяйственных операций несет </w:t>
      </w:r>
      <w:r w:rsidDel="00000000" w:rsidR="00000000" w:rsidRPr="00000000">
        <w:rPr>
          <w:rFonts w:ascii="Times New Roman" w:cs="Times New Roman" w:eastAsia="Times New Roman" w:hAnsi="Times New Roman"/>
          <w:smallCaps w:val="0"/>
          <w:sz w:val="28"/>
          <w:szCs w:val="28"/>
          <w:u w:val="single"/>
          <w:rtl w:val="0"/>
        </w:rPr>
        <w:t xml:space="preserve">руководитель</w:t>
      </w:r>
      <w:r w:rsidDel="00000000" w:rsidR="00000000" w:rsidRPr="00000000">
        <w:rPr>
          <w:rFonts w:ascii="Times New Roman" w:cs="Times New Roman" w:eastAsia="Times New Roman" w:hAnsi="Times New Roman"/>
          <w:smallCaps w:val="0"/>
          <w:sz w:val="28"/>
          <w:szCs w:val="28"/>
          <w:rtl w:val="0"/>
        </w:rPr>
        <w:t xml:space="preserve"> предприятия.</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u w:val="single"/>
          <w:rtl w:val="0"/>
        </w:rPr>
        <w:t xml:space="preserve">Главный бухгалтер</w:t>
      </w:r>
      <w:r w:rsidDel="00000000" w:rsidR="00000000" w:rsidRPr="00000000">
        <w:rPr>
          <w:rFonts w:ascii="Times New Roman" w:cs="Times New Roman" w:eastAsia="Times New Roman" w:hAnsi="Times New Roman"/>
          <w:smallCaps w:val="0"/>
          <w:sz w:val="28"/>
          <w:szCs w:val="28"/>
          <w:rtl w:val="0"/>
        </w:rPr>
        <w:t xml:space="preserve"> подчиняется непосредственно руководителю организации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организации.</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обеспечения достоверности данных бухгалтерского учета и бухгалтерской отчетности на предприятии проводится инвентаризация имущества и обязательств, в ходе которой проверяются и документально подтверждаются их наличие, состояние и оценка. Инвентаризация производится в соответствии с Методическими указаниями по инвентаризации имущества и финансовых обязательств, утв. Приказом Минфина РФ №49 от 13.06.1995. Проведение инвентаризации обязательно: при смене материально ответственных лиц; при выявлении фактов хищения, злоупотребления или порчи имущества; в случае стихийного бедствия, пожара или других чрезвычайных ситуаций; в других случаях, предусмотренных законодательством РФ</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случаях, когда проведение инвентаризации обязательно, но сроки ее проведения не установлены настоящей учетной </w:t>
      </w:r>
      <w:r w:rsidDel="00000000" w:rsidR="00000000" w:rsidRPr="00000000">
        <w:rPr>
          <w:rFonts w:ascii="Times New Roman" w:cs="Times New Roman" w:eastAsia="Times New Roman" w:hAnsi="Times New Roman"/>
          <w:smallCaps w:val="0"/>
          <w:sz w:val="28"/>
          <w:szCs w:val="28"/>
          <w:u w:val="single"/>
          <w:rtl w:val="0"/>
        </w:rPr>
        <w:t xml:space="preserve">политикой</w:t>
      </w:r>
      <w:r w:rsidDel="00000000" w:rsidR="00000000" w:rsidRPr="00000000">
        <w:rPr>
          <w:rFonts w:ascii="Times New Roman" w:cs="Times New Roman" w:eastAsia="Times New Roman" w:hAnsi="Times New Roman"/>
          <w:smallCaps w:val="0"/>
          <w:sz w:val="28"/>
          <w:szCs w:val="28"/>
          <w:rtl w:val="0"/>
        </w:rPr>
        <w:t xml:space="preserve">, или когда проведение инвентаризации не обязательно, инвентаризация проводится на основании отдельного приказа руководителя предприятия.</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качестве основных средств к бухгалтерскому учету принимается имущество, в отношении которого единовременно выполняются следующие условия: имущество используется в производстве продукции при выполнении работ или оказании услуг либо для управленческих нужд организации, либо для предоставления за плату во временное владение и пользование; имущество используется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 организацией не предполагается последующая перепродажа данного имущества; имущество способно приносить организации экономические выгоды (доход) в будущем.</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Амортизация всех основных средств в бухгалтерском учете производится линейным способом.</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Объекты основных средств стоимостью не более 20000 рублей за единицу, а также приобретенные книги, брошюры и т.п. издания отражаются в бухгалтерском учете и бухгалтерской отчетности в составе МПЗ длительного использованиям списываются на затраты производства по мере их отпуска в производство или эксплуатацию.</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Доходами от обычных видов деятельности признаются все виды доходов от реализации.</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Расходы будущих периодов, в том числе расходы на страхование, расходы на приобретение компьютерных программ, учитываются на счете 97 "Расходы будущих периодов". Списание расходов будущих периодов производится равными долями в течение их срока полезного использования в дебет счетов учета затрат.</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Моментом определения налоговой базы по налогу на добавленную стоимость является дата день отгрузки (передачи) товаров (работ, услуг), имущественных прав.</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определении налоговой базы по налогу на прибыль доходы и расходы определяются по методу начисления.</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целях исчисления налога на прибыль амортизация основных средств начисляется линейным методом.</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Пониженные нормы начисления амортизации не применяются.</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реализации покупных товаров их стоимость определяется по средней стоимости. При этом в целях исчисления налога на прибыль затраты, связанные с приобретением товаров, в стоимость их приобретения не включаются (за исключением случаев, если эти расходы включены поставщиками в продажную стоимость товаров).</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формировании учетной </w:t>
      </w:r>
      <w:r w:rsidDel="00000000" w:rsidR="00000000" w:rsidRPr="00000000">
        <w:rPr>
          <w:rFonts w:ascii="Times New Roman" w:cs="Times New Roman" w:eastAsia="Times New Roman" w:hAnsi="Times New Roman"/>
          <w:smallCaps w:val="0"/>
          <w:sz w:val="28"/>
          <w:szCs w:val="28"/>
          <w:u w:val="single"/>
          <w:rtl w:val="0"/>
        </w:rPr>
        <w:t xml:space="preserve">политики</w:t>
      </w:r>
      <w:r w:rsidDel="00000000" w:rsidR="00000000" w:rsidRPr="00000000">
        <w:rPr>
          <w:rFonts w:ascii="Times New Roman" w:cs="Times New Roman" w:eastAsia="Times New Roman" w:hAnsi="Times New Roman"/>
          <w:smallCaps w:val="0"/>
          <w:sz w:val="28"/>
          <w:szCs w:val="28"/>
          <w:rtl w:val="0"/>
        </w:rPr>
        <w:t xml:space="preserve"> основным критерием выбора и установления способов и методов учета активов и обязательств являлось формирование в бухгалтерском учете и отчетности максимально полной и достоверной информации, экономическая целесообразность, учет отраслевых и организационных особенностей предприятия.</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"Вилмаст" находится на общей системе налогообложения, которая предполагает ведение бухгалтерского учета в полном объеме и уплату всех общих налогов (НДС, налога на прибыль, на имущество, единого социального налога). До 2010 года организация являлась плательщиком единого социального налога. Так как в соответствии с новым законодательством произошла отмена главы 24 НК РФ "Единый социальный налог", с 2010 года ООО "Вилмаст" является плательщиком взносов, перечисляемых во внебюджетные фонды.</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Налог на прибыль с 1 января 2002 года регулируется главой 25 Налогового кодекса РФ. Базовая </w:t>
      </w:r>
      <w:r w:rsidDel="00000000" w:rsidR="00000000" w:rsidRPr="00000000">
        <w:rPr>
          <w:rFonts w:ascii="Times New Roman" w:cs="Times New Roman" w:eastAsia="Times New Roman" w:hAnsi="Times New Roman"/>
          <w:smallCaps w:val="0"/>
          <w:sz w:val="28"/>
          <w:szCs w:val="28"/>
          <w:u w:val="single"/>
          <w:rtl w:val="0"/>
        </w:rPr>
        <w:t xml:space="preserve">ставка</w:t>
      </w:r>
      <w:r w:rsidDel="00000000" w:rsidR="00000000" w:rsidRPr="00000000">
        <w:rPr>
          <w:rFonts w:ascii="Times New Roman" w:cs="Times New Roman" w:eastAsia="Times New Roman" w:hAnsi="Times New Roman"/>
          <w:smallCaps w:val="0"/>
          <w:sz w:val="28"/>
          <w:szCs w:val="28"/>
          <w:rtl w:val="0"/>
        </w:rPr>
        <w:t xml:space="preserve"> в 2009 году составляет 20 % (до 1 января 2009 года составлял 24 %): 2 % — зачисляется в федеральный бюджет, 18 % — зачисляется в бюджеты субъектов Российской Федерации. Расчет налога на прибыль производится по следующей схеме:</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mallCaps w:val="0"/>
          <w:sz w:val="28"/>
          <w:szCs w:val="28"/>
          <w:rtl w:val="0"/>
        </w:rPr>
        <w:t xml:space="preserve">Налог на прибыль = Налогооблагаемая прибыль * Налоговая </w:t>
      </w:r>
      <w:r w:rsidDel="00000000" w:rsidR="00000000" w:rsidRPr="00000000">
        <w:rPr>
          <w:rFonts w:ascii="Times New Roman" w:cs="Times New Roman" w:eastAsia="Times New Roman" w:hAnsi="Times New Roman"/>
          <w:smallCaps w:val="0"/>
          <w:sz w:val="28"/>
          <w:szCs w:val="28"/>
          <w:u w:val="single"/>
          <w:rtl w:val="0"/>
        </w:rPr>
        <w:t xml:space="preserve">ставка</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Налогооблагаемая прибыль = Налогооблагаемые доходы – Вычитаемые расходы – Убытки прошлых лет</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Налоговые декларации по налогу на прибыль представляются по итогам отчетного периода не позднее 28 дней со дня окончания соответствующего отчетного периода (I квартала, I полугодия, 9 месяцев), по итогам налогового периода — не позднее 28 марта года, следующего за истекшим налоговым периодом (годом) (п. 3, п. 4 ст. 289 Кодекса). Для составления налоговой декларации по налогу на прибыль согласно Налоговому кодексу берутся данные налогового учета. Предприятие уплачивают квартальные авансовые платежи по итогам отчетного периода, т.к доходы от реализации за предыдущие четыре квартала не превышали в среднем трех миллионов рублей за каждый квартал ( п. 3 ст. 286 НК РФ). Квартальные авансовые платежи уплачиваются не позднее срока, установленного для подачи налоговой декларации за соответствующий отчетный период. Сумма, подлежащая уплате в бюджет, определяется с учетом ранее внесенных платежей.</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планом счетов налог на прибыль учитывается на счете 68 "Расчеты по налогам и сборам" субсчет 4 "Налог на прибыль". Начисление налога учитывается по кредиту счета, уплата авансовых платежей относится на дебет счета 68 "Расчеты по налогам и сборам" субсчет 4 "Налог на прибыль".</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НДС . Сумма налога, подлежащая уплате в бюджет определяется как разница между суммой налога, исчисленной по установленной </w:t>
      </w:r>
      <w:r w:rsidDel="00000000" w:rsidR="00000000" w:rsidRPr="00000000">
        <w:rPr>
          <w:rFonts w:ascii="Times New Roman" w:cs="Times New Roman" w:eastAsia="Times New Roman" w:hAnsi="Times New Roman"/>
          <w:smallCaps w:val="0"/>
          <w:sz w:val="28"/>
          <w:szCs w:val="28"/>
          <w:u w:val="single"/>
          <w:rtl w:val="0"/>
        </w:rPr>
        <w:t xml:space="preserve">ставке</w:t>
      </w:r>
      <w:r w:rsidDel="00000000" w:rsidR="00000000" w:rsidRPr="00000000">
        <w:rPr>
          <w:rFonts w:ascii="Times New Roman" w:cs="Times New Roman" w:eastAsia="Times New Roman" w:hAnsi="Times New Roman"/>
          <w:smallCaps w:val="0"/>
          <w:sz w:val="28"/>
          <w:szCs w:val="28"/>
          <w:rtl w:val="0"/>
        </w:rPr>
        <w:t xml:space="preserve"> 18% с налоговой базы, определяемой в соответствии с положениями законодательства, и суммой налоговых вычетов (то есть суммы налога уплаченного при приобретении товаров, работ, услуг, используемых в деятельности компании, облагаемой НДС).Объект налогообложения определяется как реализация товаров, а также суммы авансовых платежей. Налоговый период с 1 января 2008 г. устанавливается как квартал. Декларация подается в срок не позднее 20-го числа месяца, следующего за истекшим налоговым периодом.НДС уплачивается за истекший налоговый период равными долями не позднее 20-го числа каждого из трех месяцев, следующего за истекшим налоговым периодом. Данный порядок установлен с 3 квартала 2008 года.Закон от 13 октября 2008 года № 172-Ф3.</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планом счетов налог на добавленную стоимость учитывается на счете 68 "Расчеты по налогам и сборам" субсчет 2 "Налог на добавленную стоимость". Начисление налога учитывается по кредиту счета, уплата налоговых платежей относится на дебет счета 68 "Расчеты по налогам и сборам" субсчет 2 "Налог на добавленную стоимость".</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Единый социальный налог (ЕСН) — отменённый федеральный налог зачисляемый в Федеральный бюджет и государственные внебюджетные фонды — Пенсионный фонд Российской Федерации, Фонд социального страхования Российской Федерации . С 2010 года единый социальный налог отменён, вместо него нынешние плательщики налога будут уплачивать страховые взносы в ПФР, ФСС, федеральный и территориальные ФОМСы, согласно закону № 212-ФЗ от 24.07.2009 Закон № 212-ФЗ от 24.07.2009. В течение отчетного периода (1 квартал, полугодие, 9 месяцев) по итогам каждого календарного исчисляются ежемесячные авансовые платежи. Налоговым периодом является календарный год. Налоговая база определяется исходя из величины выплат и иных вознаграждений, начисленных с начала налогового периода до окончания соответствующего календарного месяца.</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Общая величина налоговой </w:t>
      </w:r>
      <w:r w:rsidDel="00000000" w:rsidR="00000000" w:rsidRPr="00000000">
        <w:rPr>
          <w:rFonts w:ascii="Times New Roman" w:cs="Times New Roman" w:eastAsia="Times New Roman" w:hAnsi="Times New Roman"/>
          <w:smallCaps w:val="0"/>
          <w:sz w:val="28"/>
          <w:szCs w:val="28"/>
          <w:u w:val="single"/>
          <w:rtl w:val="0"/>
        </w:rPr>
        <w:t xml:space="preserve">ставки</w:t>
      </w:r>
      <w:r w:rsidDel="00000000" w:rsidR="00000000" w:rsidRPr="00000000">
        <w:rPr>
          <w:rFonts w:ascii="Times New Roman" w:cs="Times New Roman" w:eastAsia="Times New Roman" w:hAnsi="Times New Roman"/>
          <w:smallCaps w:val="0"/>
          <w:sz w:val="28"/>
          <w:szCs w:val="28"/>
          <w:rtl w:val="0"/>
        </w:rPr>
        <w:t xml:space="preserve"> для организаций и индивидуальных предпринимателей, производящих выплаты физическим лицам, при величине налоговой базы до 280 000 руб. определена в размере 26%, из которых:</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- 20% направляется в федеральный бюджет;</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- 2,9% — в ФСС России;</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- 1,1% — ФФОМС;</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- 2% — ТФОМС</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Налоговым периодом является календарный год. Отчетными периодами признаются первый квартал, полугодие и девять месяцев календарного года.Уплата ежемесячных авансовых платежей производится не позднее 15-го числа следующего месяца.</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Отчетность в налоговые органы предоставляется не позднее 20-го числа месяца, следующего за отчетным периодом (квартал, полугодие, 9 месяцев). По окончании налогового периода не позднее 30 марта года, следующего за истекшим налоговым периодом в налоговый орган предоставляется налоговая декларацию по ЕСН.</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региональные отделения ФСС РФ сведения предоставляются ежеквартально не позднее 15-го числа месяца, следующего за отчетным периодом (квартал, полугодие, 9 месяцев).</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Взносы на обязательное пенсионное страхование. База для расчета пенсионных взносов та же, что и для ЕСН, который при перечислении в бюджет уменьшается на сумму этих взносов. Ежеквартально представляется в налоговую инспекцию и ПФР расчет авансовых платежей по взносам, а в конце года рассчитывают и перечисляют в бюджет конечную сумму. Она представляет собой разницу между величиной, рассчитанной по итогам года, и авансовыми платежами. За 2009 год перечислить ее надо не позднее 14 апреля 2010 года. Крайний срок для подачи декларации - 30 марта. Кроме этого до 1 марта представляется отчет по персонифицированному учету в Пенсионный фонд Российской Федерации. С 2010 года работодатель обязан представить отчета по персонифицированному учету за 1 полугодие и год.</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Начиная с 2011 года данный отчет будет представляться ежеквартально.</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Налог на имущество. Налоговым периодом по налогу на имущество организаций признается календарный год. Отчетными периодами признаются первый квартал, полугодие и девять месяцев календарного года.</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Объектом налогообложения признается движимое и недвижимое имущество, учитываемое на балансе в качестве объектов основных средств в соответствии с установленным порядком ведения бухгалтерского учета.</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Размер </w:t>
      </w:r>
      <w:r w:rsidDel="00000000" w:rsidR="00000000" w:rsidRPr="00000000">
        <w:rPr>
          <w:rFonts w:ascii="Times New Roman" w:cs="Times New Roman" w:eastAsia="Times New Roman" w:hAnsi="Times New Roman"/>
          <w:smallCaps w:val="0"/>
          <w:sz w:val="28"/>
          <w:szCs w:val="28"/>
          <w:u w:val="single"/>
          <w:rtl w:val="0"/>
        </w:rPr>
        <w:t xml:space="preserve">ставки</w:t>
      </w:r>
      <w:r w:rsidDel="00000000" w:rsidR="00000000" w:rsidRPr="00000000">
        <w:rPr>
          <w:rFonts w:ascii="Times New Roman" w:cs="Times New Roman" w:eastAsia="Times New Roman" w:hAnsi="Times New Roman"/>
          <w:smallCaps w:val="0"/>
          <w:sz w:val="28"/>
          <w:szCs w:val="28"/>
          <w:rtl w:val="0"/>
        </w:rPr>
        <w:t xml:space="preserve"> налога составляет 2.2% от налогооблагаемой базы. Сумма налога исчисляется ООО "Вилмаст" самостоятельно ежеквартально нарастающим итогом с начала года исходя из определяемой за отчетный период фактической среднегодовой стоимости имущества по специальному расчету. Сумма налога, подлежащая уплате в бюджет, определяется за вычетом ранее уплаченных платежей, а в конце года производится перерасчет суммы налога за год.</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истечении каждого отчетного периода в налоговые органы предоставляются налоговые расчеты по авансовым платежам по налогу на имущество организаций. Срок предоставления расчетов — 30 число месяца, следующего за отчетным периодом.</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итогам налогового периода предоставляется налоговая декларация не позднее 30 марта года, следующего за налоговым периодом.</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3. Анализ особенностей организации бухгалтерского учета в организации оптовой торговли ООО"Вилмаст"</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Особенности учета товаров</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Организация, основным видом деятельности которой является торговля является торговой организацией.</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Торговая деятельность складывается из операций, связанных с приобретением товарной продукции, и ее реализацией по более высоким ценам.</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Оптовый торговля – это продажа товаров торговыми предприятиями другим предприятиям, использующим эти товары либо для последующей реализации, либо для производственного потребления в качестве сырья и материалов, либо для материального обеспечения хозяйственных нужд.</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sz w:val="28"/>
          <w:szCs w:val="28"/>
          <w:rtl w:val="0"/>
        </w:rPr>
        <w:t xml:space="preserve">Товарные запасы необходимы для бесперебойного обеспечения спроса покупателей.</w:t>
      </w:r>
      <w:r w:rsidDel="00000000" w:rsidR="00000000" w:rsidRPr="00000000">
        <w:rPr>
          <w:smallCaps w:val="0"/>
          <w:rtl w:val="0"/>
        </w:rPr>
        <w:t xml:space="preserve"> </w:t>
      </w:r>
      <w:r w:rsidDel="00000000" w:rsidR="00000000" w:rsidRPr="00000000">
        <w:rPr>
          <w:rFonts w:ascii="Times New Roman" w:cs="Times New Roman" w:eastAsia="Times New Roman" w:hAnsi="Times New Roman"/>
          <w:smallCaps w:val="0"/>
          <w:color w:val="ffffff"/>
          <w:sz w:val="28"/>
          <w:szCs w:val="28"/>
          <w:rtl w:val="0"/>
        </w:rPr>
        <w:t xml:space="preserve">бухгалтерский трудовой ресурс оплата</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Бухгалтерский учет продажи товаров осуществляется на сопоставляющем операционно-результативном счете "Продажи".</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Счет "Продажи" предназначен для обобщения информации о доходах и расходах, связанных с обычными видами деятельности организации, и определения финансового результата по ним.</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счету "Продажи" открываются субсчета:</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"Выручка";</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"Себестоимость продаж";</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"Налог на добавленную стоимость";</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"Прибыль (убыток) от продаж".</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субсчете 90-1 "Выручка" учитываются поступления активов, признаваемые выручкой.</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субсчете 90-2 "Себестоимость продаж" учитывается себестоимость продаж, по которым на субсчете 90-1 "Выручка" признана выручка.</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субсчете 90-3 "Налог на добавленную стоимость" учитываются суммы налога на добавленную стоимость, причитающиеся к получению от покупателя (заказчика). Субсчет 90-9 "Прибыль (убыток) от продаж" предназначен для выявления финансового результата (прибыль или убыток) от продаж за отчетный месяц. Этот финансовый результат ежемесячно (заключительными оборотами) списывается с субсчета 90-9 "Прибыль / убыток от продаж" на счет 99 "Прибыли и убытки". Таким образом, синтетический счет 90 "Продажи" сальдо на отчетную дату не имеет. В ООО "Вилмаст" реализация товаров проводится корреспонденцией счетов представленных в таблице 3.1</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3.1 Корреспонденция счетов по реализации товаров</w:t>
      </w:r>
    </w:p>
    <w:tbl>
      <w:tblPr>
        <w:tblStyle w:val="Table2"/>
        <w:tblW w:w="8405.000000000002"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2"/>
        <w:gridCol w:w="6262"/>
        <w:gridCol w:w="720"/>
        <w:gridCol w:w="881.0000000000002"/>
        <w:tblGridChange w:id="0">
          <w:tblGrid>
            <w:gridCol w:w="542"/>
            <w:gridCol w:w="6262"/>
            <w:gridCol w:w="720"/>
            <w:gridCol w:w="88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Содержание проводки</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Дебет</w:t>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Кредит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Отражена продажная стоимость товаров с учетом всех налогов в составе выручки от продаж</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62-1</w:t>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Списана покупная стоимость реализованных товаров, по которым была признана выручка на себестоимость продаж</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90-2</w:t>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Начислена задолженность бюджету по НДС с оборота по реализации товаров</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90-3</w:t>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68-2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Поступила оплата от покупателей</w:t>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51</w:t>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Финансовый результат</w:t>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90/99</w:t>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99/90</w:t>
            </w:r>
          </w:p>
        </w:tc>
      </w:tr>
    </w:tbl>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Приобретение и оприходование товаров в ООО "СИБАВТО" оформляется корреспонденцией счетов отраженных в таблице 3.2</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3.2 Корреспонденции счетов по приобретению товаров</w:t>
      </w:r>
    </w:p>
    <w:tbl>
      <w:tblPr>
        <w:tblStyle w:val="Table3"/>
        <w:tblW w:w="868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87"/>
        <w:gridCol w:w="720"/>
        <w:gridCol w:w="881.0000000000002"/>
        <w:tblGridChange w:id="0">
          <w:tblGrid>
            <w:gridCol w:w="7087"/>
            <w:gridCol w:w="720"/>
            <w:gridCol w:w="88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Содержание проводки</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Дебет</w:t>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Кредит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Отражена покупная стоимость товара без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41-1</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Учтен НДС по приобретенным товарам</w:t>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19-3</w:t>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Учтены транспортные расходы без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44</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Учтен НДС по транспортным расходам</w:t>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19-3</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Проведена оплата за товар поставщику</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60-1</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Проведена оплата за транспорт</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76</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Принят к вычету из бюджета НДС по оприходованным и оплаченным товарам</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68-2</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19-3</w:t>
            </w:r>
          </w:p>
        </w:tc>
      </w:tr>
    </w:tbl>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процессе хозяйственной деятельности ООО "Вилмаст" осуществляет операции не только по оприходованию товара и его реализации, но и по его возврату. Операции по возврату товара поставщикам оформляются следующей корреспонденцией счетов представленной в таблице 3.3</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3.3 Корреспонденция счетов по возврату товара поставщикам</w:t>
      </w:r>
    </w:p>
    <w:tbl>
      <w:tblPr>
        <w:tblStyle w:val="Table4"/>
        <w:tblW w:w="599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0"/>
        <w:gridCol w:w="3664"/>
        <w:gridCol w:w="720"/>
        <w:gridCol w:w="881.0000000000002"/>
        <w:tblGridChange w:id="0">
          <w:tblGrid>
            <w:gridCol w:w="730"/>
            <w:gridCol w:w="3664"/>
            <w:gridCol w:w="720"/>
            <w:gridCol w:w="88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Содержание проводки</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Дебет</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Кредит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Отражен возврат поставщику без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76-2</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Сторнирован и оприходован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76-2</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19-3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Принята претензия поставщиком</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60-1</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76</w:t>
            </w:r>
          </w:p>
        </w:tc>
      </w:tr>
    </w:tbl>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таблице оформлены проводки по возврату товара до сдачи декларации и уплаты налога по НДС.</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возврат оформляется после сдачи НДС, то делаются проводки указанные в таблице 3.4</w:t>
      </w:r>
      <w:r w:rsidDel="00000000" w:rsidR="00000000" w:rsidRPr="00000000">
        <w:br w:type="page"/>
      </w:r>
      <w:r w:rsidDel="00000000" w:rsidR="00000000" w:rsidRPr="00000000">
        <w:rPr>
          <w:rtl w:val="0"/>
        </w:rPr>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3.4 Корреспонденция счетов по возврату товара поставщикам после уплаты налога на добавленную стоимость</w:t>
      </w:r>
    </w:p>
    <w:tbl>
      <w:tblPr>
        <w:tblStyle w:val="Table5"/>
        <w:tblW w:w="670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0"/>
        <w:gridCol w:w="4373"/>
        <w:gridCol w:w="719.9999999999994"/>
        <w:gridCol w:w="881.0000000000002"/>
        <w:tblGridChange w:id="0">
          <w:tblGrid>
            <w:gridCol w:w="730"/>
            <w:gridCol w:w="4373"/>
            <w:gridCol w:w="719.9999999999994"/>
            <w:gridCol w:w="88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Содержание проводки</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Дебет</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Кредит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Отражен возврат поставщику без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76-2</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Сторнирован и оприходован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76-2</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19-3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Принята претензия поставщиком</w:t>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60-1</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Сторнирован начисленный и уплаченный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68-2</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19-3</w:t>
            </w:r>
          </w:p>
        </w:tc>
      </w:tr>
    </w:tbl>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Нами был рассмотрен синтетический и аналитический учет товаров в ООО " Вилмаст".В процессе изучения не было выявлено несоответствий с учетной </w:t>
      </w:r>
      <w:r w:rsidDel="00000000" w:rsidR="00000000" w:rsidRPr="00000000">
        <w:rPr>
          <w:rFonts w:ascii="Times New Roman" w:cs="Times New Roman" w:eastAsia="Times New Roman" w:hAnsi="Times New Roman"/>
          <w:smallCaps w:val="0"/>
          <w:sz w:val="28"/>
          <w:szCs w:val="28"/>
          <w:u w:val="single"/>
          <w:rtl w:val="0"/>
        </w:rPr>
        <w:t xml:space="preserve">политикой</w:t>
      </w:r>
      <w:r w:rsidDel="00000000" w:rsidR="00000000" w:rsidRPr="00000000">
        <w:rPr>
          <w:rFonts w:ascii="Times New Roman" w:cs="Times New Roman" w:eastAsia="Times New Roman" w:hAnsi="Times New Roman"/>
          <w:smallCaps w:val="0"/>
          <w:sz w:val="28"/>
          <w:szCs w:val="28"/>
          <w:rtl w:val="0"/>
        </w:rPr>
        <w:t xml:space="preserve"> предприятия и действующего законодательства. В своей деятельности ООО "Вилмаст" при оформлении торговых операций учитывает действующие ПБУ.</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обеспечения достоверности бухгалтерского учета и бухгалтерской отчетности организации на предприятии ООО " Вилмаст" проводится инвентаризация товаров, в ходе которой проверяются и документально подтверждаются их наличие, состояние, оценка.</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Недостачи списываются в дальнейшем за счет виновных лиц, что отражается записью:</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Дебет 73-3 "Расчеты по возмещению материального ущерба"</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Кредит 94 "Недостачи и потери от порчи ценностей".</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отсутствии виновных лиц недостачи отражаются:</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Дебет 91 "Прочие доходы и расходы"</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Кредит 94 "Недостачи и потери от порчи ценностей".</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 Состав расходов на продажу, порядок их признания и списания</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"Вилмаст" учитывает расходы на продажу на балансовом счете 44 "Расходы на продажу".</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дебету счета 44 "Расходы на продажу" в течение отчетного месяца накапливаются суммы произведенных организацией расходов, связанных с продажей товаров.</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Расходы на продажу отражаются на соответствующих статьях в том отчетном периоде, к которому они относятся, независимо от срока возникновения и срока оплаты.</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Расходы, произведенные в отчетном периоде, но относящиеся к следующим отчетным периодам, отражаются в дебете балансового счета 97 "Расходы будущих периодов". Затем они списываются в расходы на продажу в течение определенного периода в соответствии со специальным расчетом, который утверждает </w:t>
      </w:r>
      <w:r w:rsidDel="00000000" w:rsidR="00000000" w:rsidRPr="00000000">
        <w:rPr>
          <w:rFonts w:ascii="Times New Roman" w:cs="Times New Roman" w:eastAsia="Times New Roman" w:hAnsi="Times New Roman"/>
          <w:smallCaps w:val="0"/>
          <w:sz w:val="28"/>
          <w:szCs w:val="28"/>
          <w:u w:val="single"/>
          <w:rtl w:val="0"/>
        </w:rPr>
        <w:t xml:space="preserve">руководитель</w:t>
      </w:r>
      <w:r w:rsidDel="00000000" w:rsidR="00000000" w:rsidRPr="00000000">
        <w:rPr>
          <w:rFonts w:ascii="Times New Roman" w:cs="Times New Roman" w:eastAsia="Times New Roman" w:hAnsi="Times New Roman"/>
          <w:smallCaps w:val="0"/>
          <w:sz w:val="28"/>
          <w:szCs w:val="28"/>
          <w:rtl w:val="0"/>
        </w:rPr>
        <w:t xml:space="preserve">организации. В составе расходов будущих периодов учитывают:</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затраты по неравномерно производимому ремонту, т.к организация не формирует резерв на ремонт основных средств;</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арендные платежи, внесенные единовременно за период времени, превышающий один месяц;</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расходы по подписке на периодические издания для служебного пользования;</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другие подобные затраты.</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окончании отчетного месяца сумма расходов, отраженная дебетовым оборотом по балансовому счету 44, полностью или частично списывается в дебет балансового счета 90 "Продажи" субсчет 2 "Себестоимость продаж".</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Частично списываются расходы на транспортировку приобретенных товаров. Эти расходы делятся между проданным в отчетном периоде товаром и остатком товарных запасов на конец отчетного периода. Остальные расходы, связанные с продажей товаров, относятся на себестоимость продаж в полном объеме.</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 транспортных расходов на остаток товаров производят по формуле:</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Определяется сумма транспортных расходов, приходящихся на остаток товаров на складе на начало месяца и осуществленных в текущем месяце.</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Определяется стоимость товаров, реализованных в текущем месяце, и стоимость остатка товаров на складе на конец месяца.</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Рассчитывается средний процент как отношение суммы транспортных расходов к стоимости товаров.</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Определяется сумма транспортных расходов, относящаяся к остатку товаров на складе, как произведение среднего процента на стоимость остатка товаров на конец месяца.</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4. Анализ финансово-хозяйственной деятельности ООО "Вилмаст"</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 финансовым показателем деятельности торгового предприятия является товарооборот. О величине товарооборота говорит выручка от продажи товаров.</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Объектами изучения в процессе анализа являются объем, состав и структура товарооборота ООО "Вилмаст".</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Состав товарооборота изучается по видам продаж, организационным формам, формам обслуживания, формам оплаты.</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Факторный анализ товарооборота предполагает выделение факторов, находящихся в детерминированной или стохастической зависимости от объема продаж.</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группами факторов являются:</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Товарное обеспечение;</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Скорость обращения товаров;</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Обеспеченность торговой организации основными фондами и эффективность их использования;</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Обеспеченность торговой организации трудовыми ресурсами и эффективность их использования;</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Другие факторы – ценовая эластичность спроса, расходы на рекламу и др.</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Факторы первой группы, связанные с товарными фондами, влияют на объем товарооборота через изменение величины запасов товаров на начало периода, поступления товаров, прочее выбытие и запасов товаров на конец отчетного периода.</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 = Зн + Пт - Пв - Зк</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ТО - объем товарооборота,</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Зн - величина запасов товаров на начало периода,</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Пт - поступление товаров,</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Пв - прочее выбытие,</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Зк - запасов товаров на конец отчетного периода</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Каждое из слагаемых товарного баланса соответствующим образом влияет на объем товарооборота ООО "Вилмаст". Увеличение начальных запасов и поступления товаров обеспечивает возможность роста товарооборота. Увеличение прочего выбытия и конечных запасов товаров отрицательно сказывается на величине товарооборота отчетного периода. Анализ изменения объема реализации.</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4.2 Анализ факторов, вызвавших изменение показателей, по объему реализации в ООО "Вилмаст"</w:t>
      </w:r>
    </w:p>
    <w:tbl>
      <w:tblPr>
        <w:tblStyle w:val="Table6"/>
        <w:tblW w:w="867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gridCol w:w="1327.9999999999995"/>
        <w:gridCol w:w="951.0000000000002"/>
        <w:gridCol w:w="951.0000000000002"/>
        <w:gridCol w:w="1243.9999999999998"/>
        <w:tblGridChange w:id="0">
          <w:tblGrid>
            <w:gridCol w:w="4200"/>
            <w:gridCol w:w="1327.9999999999995"/>
            <w:gridCol w:w="951.0000000000002"/>
            <w:gridCol w:w="951.0000000000002"/>
            <w:gridCol w:w="124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Условное обозначение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2008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2009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Отклонение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Товарооборот,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ТО</w:t>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11896,5</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13587,4</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1690,9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Средние товарные запасы,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З</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2492,2</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3211,2</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Коэффициент товарооборачиваемости, раз,в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4,77</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4,23</w:t>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Количество рабочих мест, ед.</w:t>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М</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Количество рабочих дней, дн.</w:t>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Д</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350</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353</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Средняя продолжительность работы одного рабочего места, ч.</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9,8</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Среднечасовая выработка на одно рабочее место,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Вчм</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0,25</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0,25</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w:t>
            </w:r>
          </w:p>
        </w:tc>
      </w:tr>
    </w:tbl>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товарооборачиваемости снизился на 0,54. Количество продаж ООО "Вилмаст" увеличилось на 1690,9 тыс.руб., или на 14,2%.</w:t>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Изменение коэффициента товарооборачиваемости ООО "Вилмаст" за 2008 и 2009 гг.</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 влияния изменений в стоимости товарных запасов и товарооборачиваемости на динамику объема продаж ООО "Вилмаст":</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∆ТО(З) = ∆З*Ко</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∆ТО(З) = 719*4,77 = 3429,63 тыс.руб.</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∆ТО(К) = З1 *∆К</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∆ТО(К) = 3211,2*(-0,54) = -1734,04 тыс.руб.</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результате привлечения дополнительных средств на прирост товарных запасов объем продаж возрос на 3429,63 тыс.руб, а снижение скорости оборачиваемости запасов вызвало уменьшение товарооборота на 1734,04 тыс.руб. Расчет влияния факторов, связанных с использованием рабочих мест ООО "СИБАВТО"</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∆ТО(М) = ∆М*До*По*Вчм0</w:t>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∆ТО(М) = 0*350*10*0,25 = 0 (тыс.руб.)</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∆ТО(Д) = М1 *∆Д*По*Вчм0</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∆ТО(Д) = 17*3*10*0,25 = 127,5 (тыс.руб.)</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∆ТО(П) = М1 *Д1 *∆П*Вчм0</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∆ТО(П) = 17*353*(-0,2)*0,25 = -300,05 (тыс.руб.)</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∆ТО(Вчм)=М1 *Д1 *П1 *∆Вчм</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∆ТО(Вчм)=17*353*9,8*0=0</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Резервы увеличения товарооборота связаны с улучшением использования рабочего времени. Средняя продолжительность рабочего дня снизилась вследствие увеличения числа рабочих дней с сокращенным рабочим временем. Потери рабочего времени могут быть вызваны текучестью кадров, так как прием и увольнение работников сопровождается в торговле проведением внеплановой инвентаризации.</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Следующим этапом анализа является анализ оборачиваемости оборотных средств ООО "Вилмаст".</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Потребность в оборотных средствах определяется тремя главными статьями оборотных активов: товарными запасами, дебиторской задолженностью, необходимыми денежными средствами, а также запасами материалов, топлива, тары, используемых в технологических процессах торговли и при транспортировке товаров.</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Потребность в оборотных средствах обратно пропорциональна товароборачиваемости. Ускорение товарооборачиваемости позволит обеспечить экономию оборотных средств. Свою роль играет также скорость расчетов с поставщиками и покупателями, применяемые формы расчетов и другие факторы.</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товарооборачиваемости находим по формуле:</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КТЗ = ТО : ТЗ</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КТЗ - Коэффициент товарооборачиваемости (скорость товарооборота);</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 – товарооборот;</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ТЗ - средними товарными запасами за анализируемый период.</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Продолжительность одного оборота товарных запасов в днях (ПТЗ ) может быть определена по формуле:</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ПТЗ = ТЗ : ТОдн</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ПТЗ - Продолжительность одного оборота товарных запасов в днях;</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ТОдн - дневной товарооборот.</w:t>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закрепления средств в товарных запасах МУТП "Север" (КЗТЗ ) также характеризует эффективность их использования:</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КЗТЗ = ТЗ : ТО = 1 : КТЗ</w:t>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Аналогично с помощью КТЗ , ПТЗ , КЗТЗ можно оценить скорость оборачиваемости всего оборотного капитала МУТП "Север" и других его элементов: дебиторской задолженности и денежных средств.</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Рассчитать экономический эффект (ЭЭ) от изменения скорости оборачиваемости средств можно по формуле:</w:t>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ЭЭ = ОБС1 - ОБС0 * IТО = (П1 - П0 ) * ТОдн1,</w:t>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ОБС1 и ОБС0 – скорость оборачиваемости оборотных средств соответственно в отчетном и предыдущем году;</w:t>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П1 и П0 – продолжительность одного оборота оборотных средств, дней;</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IТО – индекс товарооборота;</w:t>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ТОдн1 – дневной товарооборот в отчетном году, руб./дн.</w:t>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Факторный анализ скорости оборачиваемости оборотных средств ООО "СИБАВТО":</w:t>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 = ПТЗ + ПДЗ + ПДС,</w:t>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ПТЗ – продолжительность товарооборота товарных запасов, дней;</w:t>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ПДЗ – продолжительность оборота дебиторской задолженности, дней;</w:t>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ПДС – продолжительность оборота денежных средств, дней.</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эффективности использования оборотных средств рассмотрим в таблице 4.4</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4.4 Анализ эффективности использования оборотных средств ООО" Вилмаст"</w:t>
      </w:r>
    </w:p>
    <w:tbl>
      <w:tblPr>
        <w:tblStyle w:val="Table7"/>
        <w:tblW w:w="878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70"/>
        <w:gridCol w:w="956.0000000000002"/>
        <w:gridCol w:w="956.0000000000002"/>
        <w:gridCol w:w="1206.0000000000002"/>
        <w:tblGridChange w:id="0">
          <w:tblGrid>
            <w:gridCol w:w="5670"/>
            <w:gridCol w:w="956.0000000000002"/>
            <w:gridCol w:w="956.0000000000002"/>
            <w:gridCol w:w="120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2008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2009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Изменение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Товарооборот,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11896,5</w:t>
            </w:r>
          </w:p>
        </w:tc>
        <w:tc>
          <w:tcPr>
            <w:shd w:fill="auto" w:val="clear"/>
            <w:tcMar>
              <w:top w:w="0.0" w:type="dxa"/>
              <w:left w:w="108.0" w:type="dxa"/>
              <w:bottom w:w="0.0" w:type="dxa"/>
              <w:right w:w="108.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13587,4</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1690,9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Средняя стоимость оборотных средств,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3036,2</w:t>
            </w:r>
          </w:p>
        </w:tc>
        <w:tc>
          <w:tcPr>
            <w:shd w:fill="auto" w:val="clear"/>
            <w:tcMar>
              <w:top w:w="0.0" w:type="dxa"/>
              <w:left w:w="108.0" w:type="dxa"/>
              <w:bottom w:w="0.0" w:type="dxa"/>
              <w:right w:w="108.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4748,4</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1712,2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товарных запасов</w:t>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2531,5</w:t>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3890,9</w:t>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1359,4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дебиторской задолженности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503,7</w:t>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857,08</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353,3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денежных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0,93</w:t>
            </w:r>
          </w:p>
        </w:tc>
        <w:tc>
          <w:tcPr>
            <w:shd w:fill="auto" w:val="clear"/>
            <w:tcMar>
              <w:top w:w="0.0" w:type="dxa"/>
              <w:left w:w="108.0" w:type="dxa"/>
              <w:bottom w:w="0.0" w:type="dxa"/>
              <w:right w:w="108.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0,462</w:t>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-0,468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Коэффициент оборачиваемости оборотных средств, число оборотов за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3,9</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2,8</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Коэффициент оборачиваемости товарных запасов, раз</w:t>
            </w:r>
          </w:p>
        </w:tc>
        <w:tc>
          <w:tcPr>
            <w:shd w:fill="auto" w:val="clear"/>
            <w:tcMar>
              <w:top w:w="0.0" w:type="dxa"/>
              <w:left w:w="108.0" w:type="dxa"/>
              <w:bottom w:w="0.0" w:type="dxa"/>
              <w:right w:w="108.0" w:type="dxa"/>
            </w:tcMar>
            <w:vAlign w:val="top"/>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4,6</w:t>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3,49</w:t>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Коэффициент оборачиваемости дебиторской задолженности, раз</w:t>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23,6</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15,85</w:t>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Коэффициент оборачиваемости денежных средств, раз</w:t>
            </w:r>
          </w:p>
        </w:tc>
        <w:tc>
          <w:tcPr>
            <w:shd w:fill="auto" w:val="clear"/>
            <w:tcMar>
              <w:top w:w="0.0" w:type="dxa"/>
              <w:left w:w="108.0" w:type="dxa"/>
              <w:bottom w:w="0.0" w:type="dxa"/>
              <w:right w:w="108.0" w:type="dxa"/>
            </w:tcMar>
            <w:vAlign w:val="top"/>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12791,9</w:t>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29409,9</w:t>
            </w:r>
          </w:p>
        </w:tc>
        <w:tc>
          <w:tcPr>
            <w:shd w:fill="auto" w:val="clear"/>
            <w:tcMar>
              <w:top w:w="0.0" w:type="dxa"/>
              <w:left w:w="108.0" w:type="dxa"/>
              <w:bottom w:w="0.0" w:type="dxa"/>
              <w:right w:w="108.0" w:type="dxa"/>
            </w:tcMar>
            <w:vAlign w:val="top"/>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16618,05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Продолжительность одного оборота оборотных средств, дней</w:t>
            </w:r>
          </w:p>
        </w:tc>
        <w:tc>
          <w:tcPr>
            <w:shd w:fill="auto" w:val="clear"/>
            <w:tcMar>
              <w:top w:w="0.0" w:type="dxa"/>
              <w:left w:w="108.0" w:type="dxa"/>
              <w:bottom w:w="0.0" w:type="dxa"/>
              <w:right w:w="108.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93,5</w:t>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130,3</w:t>
            </w:r>
          </w:p>
        </w:tc>
        <w:tc>
          <w:tcPr>
            <w:shd w:fill="auto" w:val="clear"/>
            <w:tcMar>
              <w:top w:w="0.0" w:type="dxa"/>
              <w:left w:w="108.0" w:type="dxa"/>
              <w:bottom w:w="0.0" w:type="dxa"/>
              <w:right w:w="108.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36,8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Продолжительность одного оборота товарных запасов, дней</w:t>
            </w:r>
          </w:p>
        </w:tc>
        <w:tc>
          <w:tcPr>
            <w:shd w:fill="auto" w:val="clear"/>
            <w:tcMar>
              <w:top w:w="0.0" w:type="dxa"/>
              <w:left w:w="108.0" w:type="dxa"/>
              <w:bottom w:w="0.0" w:type="dxa"/>
              <w:right w:w="108.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79,34</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104,5</w:t>
            </w:r>
          </w:p>
        </w:tc>
        <w:tc>
          <w:tcPr>
            <w:shd w:fill="auto" w:val="clear"/>
            <w:tcMar>
              <w:top w:w="0.0" w:type="dxa"/>
              <w:left w:w="108.0" w:type="dxa"/>
              <w:bottom w:w="0.0" w:type="dxa"/>
              <w:right w:w="108.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25,24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Продолжительность одного оборота дебиторской задолженности, дней</w:t>
            </w:r>
          </w:p>
        </w:tc>
        <w:tc>
          <w:tcPr>
            <w:shd w:fill="auto" w:val="clear"/>
            <w:tcMar>
              <w:top w:w="0.0" w:type="dxa"/>
              <w:left w:w="108.0" w:type="dxa"/>
              <w:bottom w:w="0.0" w:type="dxa"/>
              <w:right w:w="108.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15,46</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23,02</w:t>
            </w:r>
          </w:p>
        </w:tc>
        <w:tc>
          <w:tcPr>
            <w:shd w:fill="auto" w:val="clear"/>
            <w:tcMar>
              <w:top w:w="0.0" w:type="dxa"/>
              <w:left w:w="108.0" w:type="dxa"/>
              <w:bottom w:w="0.0" w:type="dxa"/>
              <w:right w:w="108.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7,56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Продолжительность одного оборота денежных средств, дней</w:t>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Коэффициент закрепления оборотных средств, доли единицы</w:t>
            </w:r>
          </w:p>
        </w:tc>
        <w:tc>
          <w:tcPr>
            <w:shd w:fill="auto" w:val="clear"/>
            <w:tcMar>
              <w:top w:w="0.0" w:type="dxa"/>
              <w:left w:w="108.0" w:type="dxa"/>
              <w:bottom w:w="0.0" w:type="dxa"/>
              <w:right w:w="108.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0,2564</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0,3571</w:t>
            </w:r>
          </w:p>
        </w:tc>
        <w:tc>
          <w:tcPr>
            <w:shd w:fill="auto" w:val="clear"/>
            <w:tcMar>
              <w:top w:w="0.0" w:type="dxa"/>
              <w:left w:w="108.0" w:type="dxa"/>
              <w:bottom w:w="0.0" w:type="dxa"/>
              <w:right w:w="108.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0,1007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Коэффициент закрепления средств в товарных запасах, доли единицы</w:t>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0,2173</w:t>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0,2865</w:t>
            </w:r>
          </w:p>
        </w:tc>
        <w:tc>
          <w:tcPr>
            <w:shd w:fill="auto" w:val="clear"/>
            <w:tcMar>
              <w:top w:w="0.0" w:type="dxa"/>
              <w:left w:w="108.0" w:type="dxa"/>
              <w:bottom w:w="0.0" w:type="dxa"/>
              <w:right w:w="108.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0,0692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Экономический эффект от изменения скорости оборачиваемости средств в отчетном периоде по сравнению с базовым годом,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1369,9</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tl w:val="0"/>
              </w:rPr>
            </w:r>
          </w:p>
        </w:tc>
      </w:tr>
    </w:tbl>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оборачиваемости оборотных средств снизился на 1,1, продолжительность одного оборота оборотных средств увеличилась на 36,8 дней.</w:t>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эффективности использования основных фондов ООО "Вилмаст" определяется как отношение годовой суммы прибыли от продаж к среднегодовой стоимости основных фондов.</w:t>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 показателей представлен в таблице 4.5.</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4.5 Анализ использования основных фондов ООО "Вилмаст"</w:t>
      </w:r>
    </w:p>
    <w:tbl>
      <w:tblPr>
        <w:tblStyle w:val="Table8"/>
        <w:tblW w:w="822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3"/>
        <w:gridCol w:w="974.0000000000003"/>
        <w:gridCol w:w="973.9999999999998"/>
        <w:gridCol w:w="1171.0000000000002"/>
        <w:tblGridChange w:id="0">
          <w:tblGrid>
            <w:gridCol w:w="5103"/>
            <w:gridCol w:w="974.0000000000003"/>
            <w:gridCol w:w="973.9999999999998"/>
            <w:gridCol w:w="117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2008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2009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Изменение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Товарооборот,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11896,5</w:t>
            </w:r>
          </w:p>
        </w:tc>
        <w:tc>
          <w:tcPr>
            <w:shd w:fill="auto" w:val="clear"/>
            <w:tcMar>
              <w:top w:w="0.0" w:type="dxa"/>
              <w:left w:w="108.0" w:type="dxa"/>
              <w:bottom w:w="0.0" w:type="dxa"/>
              <w:right w:w="108.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13587,4</w:t>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1690,9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Средняя стоимость основных средств,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554,05</w:t>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484,95</w:t>
            </w:r>
          </w:p>
        </w:tc>
        <w:tc>
          <w:tcPr>
            <w:shd w:fill="auto" w:val="clear"/>
            <w:tcMar>
              <w:top w:w="0.0" w:type="dxa"/>
              <w:left w:w="108.0" w:type="dxa"/>
              <w:bottom w:w="0.0" w:type="dxa"/>
              <w:right w:w="108.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-69,6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Количество рабочих мест, ед.</w:t>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Стоимость основных фондов на одного работника (фондовооруженность труда),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32,6</w:t>
            </w:r>
          </w:p>
        </w:tc>
        <w:tc>
          <w:tcPr>
            <w:shd w:fill="auto" w:val="clear"/>
            <w:tcMar>
              <w:top w:w="0.0" w:type="dxa"/>
              <w:left w:w="108.0" w:type="dxa"/>
              <w:bottom w:w="0.0" w:type="dxa"/>
              <w:right w:w="108.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28,52</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Фондоотдача:</w:t>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21,4</w:t>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28,02</w:t>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Фондоемкость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0,04</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0,03</w:t>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Прибыль от продаж,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1168,9</w:t>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1702,5</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533,6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Коэффициент эффективности использования основных фондов</w:t>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1,4</w:t>
            </w:r>
          </w:p>
        </w:tc>
      </w:tr>
    </w:tbl>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Фондоотдача ООО "Вилмаст" выросла в связи с тем, что товарооборот вырос, а стоимость основных фондов уменьшилась </w:t>
      </w:r>
    </w:p>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Темп роста товарооборота и стоимости основных фондов ООО "Вилмаст"</w:t>
      </w:r>
    </w:p>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трудовых ресурсов ООО "Вилмаст" осуществляется в такой последовательности:</w:t>
      </w:r>
    </w:p>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выявляется динамика расходов на оплату труда в соответствии с ростом товарооборота;</w:t>
      </w:r>
    </w:p>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оценивается изменение уровня расходов на оплату труда и рассчитывается сумма относительной экономии (перерасхода) расходов на оплату труда;</w:t>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проводится факторный анализ расходов на оплату труда;</w:t>
      </w:r>
    </w:p>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изучается динамика производительности труда и численности персонала, рассчитывается относительная экономия (перерасход) по численности работников;</w:t>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проводится факторный анализ производительности труда.</w:t>
      </w:r>
    </w:p>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показателями, характеризующими эффективность труда ООО "Вилмаст", являются:</w:t>
      </w:r>
    </w:p>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производительность труда;</w:t>
      </w:r>
    </w:p>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расходы на оплату труда в расчете на 1 руб. товарооборота.</w:t>
      </w:r>
      <w:r w:rsidDel="00000000" w:rsidR="00000000" w:rsidRPr="00000000">
        <w:br w:type="page"/>
      </w:r>
      <w:r w:rsidDel="00000000" w:rsidR="00000000" w:rsidRPr="00000000">
        <w:rPr>
          <w:rtl w:val="0"/>
        </w:rPr>
      </w:r>
    </w:p>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4.6 Анализ использования трудовых ресурсов ООО "Вилмаст"</w:t>
      </w:r>
    </w:p>
    <w:tbl>
      <w:tblPr>
        <w:tblStyle w:val="Table9"/>
        <w:tblW w:w="893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9"/>
        <w:gridCol w:w="967.9999999999995"/>
        <w:gridCol w:w="967.9999999999995"/>
        <w:gridCol w:w="1338.0000000000007"/>
        <w:gridCol w:w="1417.0000000000005"/>
        <w:tblGridChange w:id="0">
          <w:tblGrid>
            <w:gridCol w:w="4239"/>
            <w:gridCol w:w="967.9999999999995"/>
            <w:gridCol w:w="967.9999999999995"/>
            <w:gridCol w:w="1338.0000000000007"/>
            <w:gridCol w:w="141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2008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2009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Отклонение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Темп изменения,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Товарооборот,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11896,5</w:t>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13587,4</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1690,9</w:t>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Среднесписочная численность персонала,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Среднегодовая выработка,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699,7</w:t>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799,2</w:t>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99,5</w:t>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Среднечасовая выработка,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0,20</w:t>
            </w:r>
          </w:p>
        </w:tc>
        <w:tc>
          <w:tcPr>
            <w:shd w:fill="auto" w:val="clear"/>
            <w:tcMar>
              <w:top w:w="0.0" w:type="dxa"/>
              <w:left w:w="108.0" w:type="dxa"/>
              <w:bottom w:w="0.0" w:type="dxa"/>
              <w:right w:w="108.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0,23</w:t>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0,03</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Время, отработанное в среднем одним работником за год, тыс.час.</w:t>
            </w:r>
          </w:p>
        </w:tc>
        <w:tc>
          <w:tcPr>
            <w:shd w:fill="auto" w:val="clear"/>
            <w:tcMar>
              <w:top w:w="0.0" w:type="dxa"/>
              <w:left w:w="108.0" w:type="dxa"/>
              <w:bottom w:w="0.0" w:type="dxa"/>
              <w:right w:w="108.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3,46</w:t>
            </w:r>
          </w:p>
        </w:tc>
        <w:tc>
          <w:tcPr>
            <w:shd w:fill="auto" w:val="clear"/>
            <w:tcMar>
              <w:top w:w="0.0" w:type="dxa"/>
              <w:left w:w="108.0" w:type="dxa"/>
              <w:bottom w:w="0.0" w:type="dxa"/>
              <w:right w:w="108.0" w:type="dxa"/>
            </w:tcMar>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-0,04</w:t>
            </w:r>
          </w:p>
        </w:tc>
        <w:tc>
          <w:tcPr>
            <w:shd w:fill="auto" w:val="clear"/>
            <w:tcMar>
              <w:top w:w="0.0" w:type="dxa"/>
              <w:left w:w="108.0" w:type="dxa"/>
              <w:bottom w:w="0.0" w:type="dxa"/>
              <w:right w:w="108.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98,86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Фонд оплаты труда,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198,7</w:t>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265</w:t>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66,3</w:t>
            </w:r>
          </w:p>
        </w:tc>
        <w:tc>
          <w:tcPr>
            <w:shd w:fill="auto" w:val="clear"/>
            <w:tcMar>
              <w:top w:w="0.0" w:type="dxa"/>
              <w:left w:w="108.0" w:type="dxa"/>
              <w:bottom w:w="0.0" w:type="dxa"/>
              <w:right w:w="108.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Среднегодовая заработная плата,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11,6</w:t>
            </w:r>
          </w:p>
        </w:tc>
        <w:tc>
          <w:tcPr>
            <w:shd w:fill="auto" w:val="clear"/>
            <w:tcMar>
              <w:top w:w="0.0" w:type="dxa"/>
              <w:left w:w="108.0" w:type="dxa"/>
              <w:bottom w:w="0.0" w:type="dxa"/>
              <w:right w:w="108.0" w:type="dxa"/>
            </w:tcMar>
            <w:vAlign w:val="top"/>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15,5</w:t>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3,9</w:t>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Фонд заработной платы на 1 руб. товарооборота, коп./руб.: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1,67</w:t>
            </w:r>
          </w:p>
        </w:tc>
        <w:tc>
          <w:tcPr>
            <w:shd w:fill="auto" w:val="clear"/>
            <w:tcMar>
              <w:top w:w="0.0" w:type="dxa"/>
              <w:left w:w="108.0" w:type="dxa"/>
              <w:bottom w:w="0.0" w:type="dxa"/>
              <w:right w:w="108.0" w:type="dxa"/>
            </w:tcMar>
            <w:vAlign w:val="top"/>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1,95</w:t>
            </w:r>
          </w:p>
        </w:tc>
        <w:tc>
          <w:tcPr>
            <w:shd w:fill="auto" w:val="clear"/>
            <w:tcMar>
              <w:top w:w="0.0" w:type="dxa"/>
              <w:left w:w="108.0" w:type="dxa"/>
              <w:bottom w:w="0.0" w:type="dxa"/>
              <w:right w:w="108.0" w:type="dxa"/>
            </w:tcMar>
            <w:vAlign w:val="top"/>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0,28</w:t>
            </w:r>
          </w:p>
        </w:tc>
        <w:tc>
          <w:tcPr>
            <w:shd w:fill="auto" w:val="clear"/>
            <w:tcMar>
              <w:top w:w="0.0" w:type="dxa"/>
              <w:left w:w="108.0" w:type="dxa"/>
              <w:bottom w:w="0.0" w:type="dxa"/>
              <w:right w:w="108.0" w:type="dxa"/>
            </w:tcMar>
            <w:vAlign w:val="top"/>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116,7</w:t>
            </w:r>
          </w:p>
        </w:tc>
      </w:tr>
    </w:tbl>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Среднегодовая выработка ООО "Вилмаст" увеличилась на 14,2% (рисунок 2.10.) возможно, в связи с тем, что увеличилось число рабочих дней увеличилось на 3 дня. На 1,14% снизилось отработанное время одним работником за год, возможно, за счет уменьшения продолжительности работы с 10 час. до 9,8 час. Расходы на оплату труда в расчете на 1 руб. товарооборота возросли на 16,7% , т.к. фонд оплаты труда вырос на 33,6% (66,3 тыс.руб.) при увеличении товарооборота на 14,2%.</w:t>
      </w:r>
    </w:p>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Можно рассчитать относительную экономию (перерасход) расходов на заработную плату ООО "Вилмаст" (ЭПзп):</w:t>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ЭПзп = ФОТ1 – ФОТ0 * </w:t>
      </w:r>
      <w:r w:rsidDel="00000000" w:rsidR="00000000" w:rsidRPr="00000000">
        <w:rPr>
          <w:rFonts w:ascii="Times New Roman" w:cs="Times New Roman" w:eastAsia="Times New Roman" w:hAnsi="Times New Roman"/>
          <w:smallCaps w:val="0"/>
          <w:sz w:val="28"/>
          <w:szCs w:val="28"/>
        </w:rPr>
        <w:drawing>
          <wp:inline distB="0" distT="0" distL="114300" distR="114300">
            <wp:extent cx="152209" cy="2171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209" cy="217170"/>
                    </a:xfrm>
                    <a:prstGeom prst="rect"/>
                    <a:ln/>
                  </pic:spPr>
                </pic:pic>
              </a:graphicData>
            </a:graphic>
          </wp:inline>
        </w:drawing>
      </w:r>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ФОТ1 , ФОТ0 – фонд оплаты труда соответственно в базисном и отчетном периодах;</w:t>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152209" cy="21717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209" cy="217170"/>
                    </a:xfrm>
                    <a:prstGeom prst="rect"/>
                    <a:ln/>
                  </pic:spPr>
                </pic:pic>
              </a:graphicData>
            </a:graphic>
          </wp:inline>
        </w:drawing>
      </w:r>
      <w:r w:rsidDel="00000000" w:rsidR="00000000" w:rsidRPr="00000000">
        <w:rPr>
          <w:rFonts w:ascii="Times New Roman" w:cs="Times New Roman" w:eastAsia="Times New Roman" w:hAnsi="Times New Roman"/>
          <w:smallCaps w:val="0"/>
          <w:sz w:val="28"/>
          <w:szCs w:val="28"/>
          <w:rtl w:val="0"/>
        </w:rPr>
        <w:t xml:space="preserve"> - индекс товарооборота.</w:t>
      </w:r>
    </w:p>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ЭПзп = 265-198,7*1,142 = 75,7 тыс.руб</w:t>
      </w:r>
    </w:p>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Факторный анализ фонда оплаты труда ООО "Вилмаст" проводится для изучения причин, повлиявших на его изменение, с использованием следующей факторной модели:</w:t>
      </w:r>
    </w:p>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ФОТ = Ч * ЗП,</w:t>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Ч – среднесписочная численность работников;</w:t>
      </w:r>
    </w:p>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ЗП – средняя заработная плата.</w:t>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Действие факторов равно:</w:t>
      </w:r>
    </w:p>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за счет изменения среднесписочной численности работников:</w:t>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∆ФОТч = 0*11,6 = 0 тыс.руб.</w:t>
      </w:r>
    </w:p>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за счет изменения средней заработной платы:</w:t>
      </w:r>
    </w:p>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∆ФОТзп = 3,9*17 = 66,3 тыс.руб.</w:t>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Итого: 0+66,3 = 66,3 (тыс.руб.)</w:t>
      </w:r>
    </w:p>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расходов на продажу предполагает:</w:t>
      </w:r>
    </w:p>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изучение структуры и динамики издержек в целом по торговой организации и по статьям в соответствии с динамикой товарооборота;</w:t>
      </w:r>
    </w:p>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выявление суммы относительной экономии или перерасхода на издержках;</w:t>
      </w:r>
    </w:p>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оценку влияния факторов на сумму и уровень издержек на 1 руб. товарооборота;</w:t>
      </w:r>
    </w:p>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выявление резервов снижения затрат.</w:t>
      </w:r>
    </w:p>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издержек обращения в целом по организации рассмотрим в таблице </w:t>
      </w:r>
    </w:p>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4.7 Анализ издержек обращения ООО "Вилмаст"</w:t>
      </w:r>
    </w:p>
    <w:tbl>
      <w:tblPr>
        <w:tblStyle w:val="Table10"/>
        <w:tblW w:w="892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9"/>
        <w:gridCol w:w="966.0000000000002"/>
        <w:gridCol w:w="966.0000000000002"/>
        <w:gridCol w:w="1325"/>
        <w:gridCol w:w="1696.9999999999993"/>
        <w:tblGridChange w:id="0">
          <w:tblGrid>
            <w:gridCol w:w="3969"/>
            <w:gridCol w:w="966.0000000000002"/>
            <w:gridCol w:w="966.0000000000002"/>
            <w:gridCol w:w="1325"/>
            <w:gridCol w:w="1696.999999999999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2008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2009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Отклонение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Темп изменения,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Товарооборот,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11896,5</w:t>
            </w:r>
          </w:p>
        </w:tc>
        <w:tc>
          <w:tcPr>
            <w:shd w:fill="auto" w:val="clear"/>
            <w:tcMar>
              <w:top w:w="0.0" w:type="dxa"/>
              <w:left w:w="108.0" w:type="dxa"/>
              <w:bottom w:w="0.0" w:type="dxa"/>
              <w:right w:w="108.0" w:type="dxa"/>
            </w:tcMar>
            <w:vAlign w:val="top"/>
          </w:tcPr>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13587,4</w:t>
            </w:r>
          </w:p>
        </w:tc>
        <w:tc>
          <w:tcPr>
            <w:shd w:fill="auto" w:val="clear"/>
            <w:tcMar>
              <w:top w:w="0.0" w:type="dxa"/>
              <w:left w:w="108.0" w:type="dxa"/>
              <w:bottom w:w="0.0" w:type="dxa"/>
              <w:right w:w="108.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1690,9</w:t>
            </w:r>
          </w:p>
        </w:tc>
        <w:tc>
          <w:tcPr>
            <w:shd w:fill="auto" w:val="clear"/>
            <w:tcMar>
              <w:top w:w="0.0" w:type="dxa"/>
              <w:left w:w="108.0" w:type="dxa"/>
              <w:bottom w:w="0.0" w:type="dxa"/>
              <w:right w:w="108.0" w:type="dxa"/>
            </w:tcM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Издержки обращения,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2963,2</w:t>
            </w:r>
          </w:p>
        </w:tc>
        <w:tc>
          <w:tcPr>
            <w:shd w:fill="auto" w:val="clear"/>
            <w:tcMar>
              <w:top w:w="0.0" w:type="dxa"/>
              <w:left w:w="108.0" w:type="dxa"/>
              <w:bottom w:w="0.0" w:type="dxa"/>
              <w:right w:w="108.0" w:type="dxa"/>
            </w:tcMar>
            <w:vAlign w:val="top"/>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3493,3</w:t>
            </w:r>
          </w:p>
        </w:tc>
        <w:tc>
          <w:tcPr>
            <w:shd w:fill="auto" w:val="clear"/>
            <w:tcMar>
              <w:top w:w="0.0" w:type="dxa"/>
              <w:left w:w="108.0" w:type="dxa"/>
              <w:bottom w:w="0.0" w:type="dxa"/>
              <w:right w:w="108.0" w:type="dxa"/>
            </w:tcM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530,1</w:t>
            </w:r>
          </w:p>
        </w:tc>
        <w:tc>
          <w:tcPr>
            <w:shd w:fill="auto" w:val="clear"/>
            <w:tcMar>
              <w:top w:w="0.0" w:type="dxa"/>
              <w:left w:w="108.0" w:type="dxa"/>
              <w:bottom w:w="0.0" w:type="dxa"/>
              <w:right w:w="108.0" w:type="dxa"/>
            </w:tcMar>
            <w:vAlign w:val="top"/>
          </w:tcPr>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117,8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Уровень издержек обращения, коп. на 1 руб. товарооборота,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24,91</w:t>
            </w:r>
          </w:p>
        </w:tc>
        <w:tc>
          <w:tcPr>
            <w:shd w:fill="auto" w:val="clear"/>
            <w:tcMar>
              <w:top w:w="0.0" w:type="dxa"/>
              <w:left w:w="108.0" w:type="dxa"/>
              <w:bottom w:w="0.0" w:type="dxa"/>
              <w:right w:w="108.0" w:type="dxa"/>
            </w:tcMar>
            <w:vAlign w:val="top"/>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25,71</w:t>
            </w:r>
          </w:p>
        </w:tc>
        <w:tc>
          <w:tcPr>
            <w:shd w:fill="auto" w:val="clear"/>
            <w:tcMar>
              <w:top w:w="0.0" w:type="dxa"/>
              <w:left w:w="108.0" w:type="dxa"/>
              <w:bottom w:w="0.0" w:type="dxa"/>
              <w:right w:w="108.0" w:type="dxa"/>
            </w:tcMar>
            <w:vAlign w:val="top"/>
          </w:tcPr>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0,8</w:t>
            </w:r>
          </w:p>
        </w:tc>
        <w:tc>
          <w:tcPr>
            <w:shd w:fill="auto" w:val="clear"/>
            <w:tcMar>
              <w:top w:w="0.0" w:type="dxa"/>
              <w:left w:w="108.0" w:type="dxa"/>
              <w:bottom w:w="0.0" w:type="dxa"/>
              <w:right w:w="108.0" w:type="dxa"/>
            </w:tcMar>
            <w:vAlign w:val="top"/>
          </w:tcPr>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103,2</w:t>
            </w:r>
          </w:p>
        </w:tc>
      </w:tr>
    </w:tbl>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Наблюдается незначительное увеличение затратоемкости торговой деятельности ООО "Вилмаст" – доля издержек в каждом рубле товарооборота увеличилась с 24,91 коп до 25,71 коп. (рисунок. 4.4.). Относительное увеличение издержек за счет этого равна 108,7 тыс.руб.:</w:t>
      </w:r>
    </w:p>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(0,8 : 100) * 13587,4 = 108,7 (тыс.руб.)</w:t>
      </w:r>
    </w:p>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Анализируя данные таблицы 4.7 видим, что издержки обращения в отчетном 2009 году возросли по уровню на 17,8%, и увеличились по сумме на 530,1 тыс. руб.</w:t>
      </w:r>
    </w:p>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Изменение уровня издержек обращения ООО "Вилмаст" за два года</w:t>
      </w:r>
    </w:p>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Рассмотрим анализ издержек обращения исследуемой торговой организации по статьям в таблице 4.8</w:t>
      </w:r>
    </w:p>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4.8 Анализ издержек обращения ООО "Вилмаст" в разрезе отдельных статей</w:t>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11"/>
        <w:tblW w:w="822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3"/>
        <w:gridCol w:w="950.9999999999997"/>
        <w:gridCol w:w="991.9999999999999"/>
        <w:gridCol w:w="849.9999999999994"/>
        <w:gridCol w:w="992.9999999999995"/>
        <w:gridCol w:w="850"/>
        <w:gridCol w:w="992.0000000000005"/>
        <w:tblGridChange w:id="0">
          <w:tblGrid>
            <w:gridCol w:w="2593"/>
            <w:gridCol w:w="950.9999999999997"/>
            <w:gridCol w:w="991.9999999999999"/>
            <w:gridCol w:w="849.9999999999994"/>
            <w:gridCol w:w="992.9999999999995"/>
            <w:gridCol w:w="850"/>
            <w:gridCol w:w="99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Статьи расходов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2008 год</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2009 год</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Отклонение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Сумма,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Уровень %</w:t>
            </w:r>
          </w:p>
        </w:tc>
        <w:tc>
          <w:tcPr>
            <w:shd w:fill="auto" w:val="clear"/>
            <w:tcMar>
              <w:top w:w="0.0" w:type="dxa"/>
              <w:left w:w="108.0" w:type="dxa"/>
              <w:bottom w:w="0.0" w:type="dxa"/>
              <w:right w:w="108.0" w:type="dxa"/>
            </w:tcMar>
            <w:vAlign w:val="top"/>
          </w:tcPr>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Сумма тыс.р</w:t>
            </w:r>
          </w:p>
        </w:tc>
        <w:tc>
          <w:tcPr>
            <w:shd w:fill="auto" w:val="clear"/>
            <w:tcMar>
              <w:top w:w="0.0" w:type="dxa"/>
              <w:left w:w="108.0" w:type="dxa"/>
              <w:bottom w:w="0.0" w:type="dxa"/>
              <w:right w:w="108.0" w:type="dxa"/>
            </w:tcMar>
            <w:vAlign w:val="top"/>
          </w:tcPr>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Уровень %</w:t>
            </w:r>
          </w:p>
        </w:tc>
        <w:tc>
          <w:tcPr>
            <w:shd w:fill="auto" w:val="clear"/>
            <w:tcMar>
              <w:top w:w="0.0" w:type="dxa"/>
              <w:left w:w="108.0" w:type="dxa"/>
              <w:bottom w:w="0.0" w:type="dxa"/>
              <w:right w:w="108.0" w:type="dxa"/>
            </w:tcMar>
            <w:vAlign w:val="top"/>
          </w:tcPr>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Сумма тыс.р</w:t>
            </w:r>
          </w:p>
        </w:tc>
        <w:tc>
          <w:tcPr>
            <w:shd w:fill="auto" w:val="clear"/>
            <w:tcMar>
              <w:top w:w="0.0" w:type="dxa"/>
              <w:left w:w="108.0" w:type="dxa"/>
              <w:bottom w:w="0.0" w:type="dxa"/>
              <w:right w:w="108.0" w:type="dxa"/>
            </w:tcMar>
            <w:vAlign w:val="top"/>
          </w:tcPr>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Уровень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Транспортные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40,6</w:t>
            </w:r>
          </w:p>
        </w:tc>
        <w:tc>
          <w:tcPr>
            <w:shd w:fill="auto" w:val="clear"/>
            <w:tcMar>
              <w:top w:w="0.0" w:type="dxa"/>
              <w:left w:w="108.0" w:type="dxa"/>
              <w:bottom w:w="0.0" w:type="dxa"/>
              <w:right w:w="108.0" w:type="dxa"/>
            </w:tcMar>
            <w:vAlign w:val="top"/>
          </w:tcPr>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48,45</w:t>
            </w:r>
          </w:p>
        </w:tc>
        <w:tc>
          <w:tcPr>
            <w:shd w:fill="auto" w:val="clear"/>
            <w:tcMar>
              <w:top w:w="0.0" w:type="dxa"/>
              <w:left w:w="108.0" w:type="dxa"/>
              <w:bottom w:w="0.0" w:type="dxa"/>
              <w:right w:w="108.0" w:type="dxa"/>
            </w:tcMar>
            <w:vAlign w:val="top"/>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7,85</w:t>
            </w:r>
          </w:p>
        </w:tc>
        <w:tc>
          <w:tcPr>
            <w:shd w:fill="auto" w:val="clear"/>
            <w:tcMar>
              <w:top w:w="0.0" w:type="dxa"/>
              <w:left w:w="108.0" w:type="dxa"/>
              <w:bottom w:w="0.0" w:type="dxa"/>
              <w:right w:w="108.0" w:type="dxa"/>
            </w:tcMa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Расходы на оплату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2387</w:t>
            </w:r>
          </w:p>
        </w:tc>
        <w:tc>
          <w:tcPr>
            <w:shd w:fill="auto" w:val="clear"/>
            <w:tcMar>
              <w:top w:w="0.0" w:type="dxa"/>
              <w:left w:w="108.0" w:type="dxa"/>
              <w:bottom w:w="0.0" w:type="dxa"/>
              <w:right w:w="108.0" w:type="dxa"/>
            </w:tcMa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0,58</w:t>
            </w:r>
          </w:p>
        </w:tc>
        <w:tc>
          <w:tcPr>
            <w:shd w:fill="auto" w:val="clear"/>
            <w:tcMar>
              <w:top w:w="0.0" w:type="dxa"/>
              <w:left w:w="108.0" w:type="dxa"/>
              <w:bottom w:w="0.0" w:type="dxa"/>
              <w:right w:w="108.0" w:type="dxa"/>
            </w:tcM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3182</w:t>
            </w:r>
          </w:p>
        </w:tc>
        <w:tc>
          <w:tcPr>
            <w:shd w:fill="auto" w:val="clear"/>
            <w:tcMar>
              <w:top w:w="0.0" w:type="dxa"/>
              <w:left w:w="108.0" w:type="dxa"/>
              <w:bottom w:w="0.0" w:type="dxa"/>
              <w:right w:w="108.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0,61</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795,6</w:t>
            </w:r>
          </w:p>
        </w:tc>
        <w:tc>
          <w:tcPr>
            <w:shd w:fill="auto" w:val="clear"/>
            <w:tcMar>
              <w:top w:w="0.0" w:type="dxa"/>
              <w:left w:w="108.0" w:type="dxa"/>
              <w:bottom w:w="0.0" w:type="dxa"/>
              <w:right w:w="108.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Отчисления на соц. нужды</w:t>
            </w:r>
          </w:p>
        </w:tc>
        <w:tc>
          <w:tcPr>
            <w:shd w:fill="auto" w:val="clear"/>
            <w:tcMar>
              <w:top w:w="0.0" w:type="dxa"/>
              <w:left w:w="108.0" w:type="dxa"/>
              <w:bottom w:w="0.0" w:type="dxa"/>
              <w:right w:w="108.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620,6</w:t>
            </w:r>
          </w:p>
        </w:tc>
        <w:tc>
          <w:tcPr>
            <w:shd w:fill="auto" w:val="clear"/>
            <w:tcMar>
              <w:top w:w="0.0" w:type="dxa"/>
              <w:left w:w="108.0" w:type="dxa"/>
              <w:bottom w:w="0.0" w:type="dxa"/>
              <w:right w:w="108.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0,15</w:t>
            </w:r>
          </w:p>
        </w:tc>
        <w:tc>
          <w:tcPr>
            <w:shd w:fill="auto" w:val="clear"/>
            <w:tcMar>
              <w:top w:w="0.0" w:type="dxa"/>
              <w:left w:w="108.0" w:type="dxa"/>
              <w:bottom w:w="0.0" w:type="dxa"/>
              <w:right w:w="108.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827,4</w:t>
            </w:r>
          </w:p>
        </w:tc>
        <w:tc>
          <w:tcPr>
            <w:shd w:fill="auto" w:val="clear"/>
            <w:tcMar>
              <w:top w:w="0.0" w:type="dxa"/>
              <w:left w:w="108.0" w:type="dxa"/>
              <w:bottom w:w="0.0" w:type="dxa"/>
              <w:right w:w="108.0" w:type="dxa"/>
            </w:tcMar>
            <w:vAlign w:val="top"/>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0,16</w:t>
            </w:r>
          </w:p>
        </w:tc>
        <w:tc>
          <w:tcPr>
            <w:shd w:fill="auto" w:val="clear"/>
            <w:tcMar>
              <w:top w:w="0.0" w:type="dxa"/>
              <w:left w:w="108.0" w:type="dxa"/>
              <w:bottom w:w="0.0" w:type="dxa"/>
              <w:right w:w="108.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206,9</w:t>
            </w:r>
          </w:p>
        </w:tc>
        <w:tc>
          <w:tcPr>
            <w:shd w:fill="auto" w:val="clear"/>
            <w:tcMar>
              <w:top w:w="0.0" w:type="dxa"/>
              <w:left w:w="108.0" w:type="dxa"/>
              <w:bottom w:w="0.0" w:type="dxa"/>
              <w:right w:w="108.0" w:type="dxa"/>
            </w:tcMar>
            <w:vAlign w:val="top"/>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Расходы на аренду</w:t>
            </w:r>
          </w:p>
        </w:tc>
        <w:tc>
          <w:tcPr>
            <w:shd w:fill="auto" w:val="clear"/>
            <w:tcMar>
              <w:top w:w="0.0" w:type="dxa"/>
              <w:left w:w="108.0" w:type="dxa"/>
              <w:bottom w:w="0.0" w:type="dxa"/>
              <w:right w:w="108.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720</w:t>
            </w:r>
          </w:p>
        </w:tc>
        <w:tc>
          <w:tcPr>
            <w:shd w:fill="auto" w:val="clear"/>
            <w:tcMar>
              <w:top w:w="0.0" w:type="dxa"/>
              <w:left w:w="108.0" w:type="dxa"/>
              <w:bottom w:w="0.0" w:type="dxa"/>
              <w:right w:w="108.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0,17</w:t>
            </w:r>
          </w:p>
        </w:tc>
        <w:tc>
          <w:tcPr>
            <w:shd w:fill="auto" w:val="clear"/>
            <w:tcMar>
              <w:top w:w="0.0" w:type="dxa"/>
              <w:left w:w="108.0" w:type="dxa"/>
              <w:bottom w:w="0.0" w:type="dxa"/>
              <w:right w:w="108.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780</w:t>
            </w:r>
          </w:p>
        </w:tc>
        <w:tc>
          <w:tcPr>
            <w:shd w:fill="auto" w:val="clear"/>
            <w:tcMar>
              <w:top w:w="0.0" w:type="dxa"/>
              <w:left w:w="108.0" w:type="dxa"/>
              <w:bottom w:w="0.0" w:type="dxa"/>
              <w:right w:w="108.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0,15</w:t>
            </w:r>
          </w:p>
        </w:tc>
        <w:tc>
          <w:tcPr>
            <w:shd w:fill="auto" w:val="clear"/>
            <w:tcMar>
              <w:top w:w="0.0" w:type="dxa"/>
              <w:left w:w="108.0" w:type="dxa"/>
              <w:bottom w:w="0.0" w:type="dxa"/>
              <w:right w:w="108.0" w:type="dxa"/>
            </w:tcMa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Амортизация осн.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69,14</w:t>
            </w:r>
          </w:p>
        </w:tc>
        <w:tc>
          <w:tcPr>
            <w:shd w:fill="auto" w:val="clear"/>
            <w:tcMar>
              <w:top w:w="0.0" w:type="dxa"/>
              <w:left w:w="108.0" w:type="dxa"/>
              <w:bottom w:w="0.0" w:type="dxa"/>
              <w:right w:w="108.0" w:type="dxa"/>
            </w:tcMar>
            <w:vAlign w:val="top"/>
          </w:tcPr>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69,14</w:t>
            </w:r>
          </w:p>
        </w:tc>
        <w:tc>
          <w:tcPr>
            <w:shd w:fill="auto" w:val="clear"/>
            <w:tcMar>
              <w:top w:w="0.0" w:type="dxa"/>
              <w:left w:w="108.0" w:type="dxa"/>
              <w:bottom w:w="0.0" w:type="dxa"/>
              <w:right w:w="108.0" w:type="dxa"/>
            </w:tcMar>
            <w:vAlign w:val="top"/>
          </w:tcPr>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Командировочные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21,8</w:t>
            </w:r>
          </w:p>
        </w:tc>
        <w:tc>
          <w:tcPr>
            <w:shd w:fill="auto" w:val="clear"/>
            <w:tcMar>
              <w:top w:w="0.0" w:type="dxa"/>
              <w:left w:w="108.0" w:type="dxa"/>
              <w:bottom w:w="0.0" w:type="dxa"/>
              <w:right w:w="108.0" w:type="dxa"/>
            </w:tcMar>
            <w:vAlign w:val="top"/>
          </w:tcPr>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4,8</w:t>
            </w:r>
          </w:p>
        </w:tc>
        <w:tc>
          <w:tcPr>
            <w:shd w:fill="auto" w:val="clear"/>
            <w:tcMar>
              <w:top w:w="0.0" w:type="dxa"/>
              <w:left w:w="108.0" w:type="dxa"/>
              <w:bottom w:w="0.0" w:type="dxa"/>
              <w:right w:w="108.0" w:type="dxa"/>
            </w:tcMar>
            <w:vAlign w:val="top"/>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Расходы на рекламу</w:t>
            </w:r>
          </w:p>
        </w:tc>
        <w:tc>
          <w:tcPr>
            <w:shd w:fill="auto" w:val="clear"/>
            <w:tcMar>
              <w:top w:w="0.0" w:type="dxa"/>
              <w:left w:w="108.0" w:type="dxa"/>
              <w:bottom w:w="0.0" w:type="dxa"/>
              <w:right w:w="108.0" w:type="dxa"/>
            </w:tcMar>
            <w:vAlign w:val="top"/>
          </w:tcPr>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277,8</w:t>
            </w:r>
          </w:p>
        </w:tc>
        <w:tc>
          <w:tcPr>
            <w:shd w:fill="auto" w:val="clear"/>
            <w:tcMar>
              <w:top w:w="0.0" w:type="dxa"/>
              <w:left w:w="108.0" w:type="dxa"/>
              <w:bottom w:w="0.0" w:type="dxa"/>
              <w:right w:w="108.0" w:type="dxa"/>
            </w:tcMar>
            <w:vAlign w:val="top"/>
          </w:tcPr>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0,07</w:t>
            </w:r>
          </w:p>
        </w:tc>
        <w:tc>
          <w:tcPr>
            <w:shd w:fill="auto" w:val="clear"/>
            <w:tcMar>
              <w:top w:w="0.0" w:type="dxa"/>
              <w:left w:w="108.0" w:type="dxa"/>
              <w:bottom w:w="0.0" w:type="dxa"/>
              <w:right w:w="108.0" w:type="dxa"/>
            </w:tcMar>
            <w:vAlign w:val="top"/>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267,1</w:t>
            </w:r>
          </w:p>
        </w:tc>
        <w:tc>
          <w:tcPr>
            <w:shd w:fill="auto" w:val="clear"/>
            <w:tcMar>
              <w:top w:w="0.0" w:type="dxa"/>
              <w:left w:w="108.0" w:type="dxa"/>
              <w:bottom w:w="0.0" w:type="dxa"/>
              <w:right w:w="108.0" w:type="dxa"/>
            </w:tcMar>
            <w:vAlign w:val="top"/>
          </w:tcPr>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0,05</w:t>
            </w:r>
          </w:p>
        </w:tc>
        <w:tc>
          <w:tcPr>
            <w:shd w:fill="auto" w:val="clear"/>
            <w:tcMar>
              <w:top w:w="0.0" w:type="dxa"/>
              <w:left w:w="108.0" w:type="dxa"/>
              <w:bottom w:w="0.0" w:type="dxa"/>
              <w:right w:w="108.0" w:type="dxa"/>
            </w:tcMar>
            <w:vAlign w:val="top"/>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-10,72</w:t>
            </w:r>
          </w:p>
        </w:tc>
        <w:tc>
          <w:tcPr>
            <w:shd w:fill="auto" w:val="clear"/>
            <w:tcMar>
              <w:top w:w="0.0" w:type="dxa"/>
              <w:left w:w="108.0" w:type="dxa"/>
              <w:bottom w:w="0.0" w:type="dxa"/>
              <w:right w:w="108.0" w:type="dxa"/>
            </w:tcMar>
            <w:vAlign w:val="top"/>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Прочие</w:t>
            </w:r>
          </w:p>
        </w:tc>
        <w:tc>
          <w:tcPr>
            <w:shd w:fill="auto" w:val="clear"/>
            <w:tcMar>
              <w:top w:w="0.0" w:type="dxa"/>
              <w:left w:w="108.0" w:type="dxa"/>
              <w:bottom w:w="0.0" w:type="dxa"/>
              <w:right w:w="108.0" w:type="dxa"/>
            </w:tcMar>
            <w:vAlign w:val="top"/>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5,61</w:t>
            </w:r>
          </w:p>
        </w:tc>
        <w:tc>
          <w:tcPr>
            <w:shd w:fill="auto" w:val="clear"/>
            <w:tcMar>
              <w:top w:w="0.0" w:type="dxa"/>
              <w:left w:w="108.0" w:type="dxa"/>
              <w:bottom w:w="0.0" w:type="dxa"/>
              <w:right w:w="108.0" w:type="dxa"/>
            </w:tcMar>
            <w:vAlign w:val="top"/>
          </w:tcPr>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7,28</w:t>
            </w:r>
          </w:p>
        </w:tc>
        <w:tc>
          <w:tcPr>
            <w:shd w:fill="auto" w:val="clear"/>
            <w:tcMar>
              <w:top w:w="0.0" w:type="dxa"/>
              <w:left w:w="108.0" w:type="dxa"/>
              <w:bottom w:w="0.0" w:type="dxa"/>
              <w:right w:w="108.0" w:type="dxa"/>
            </w:tcMar>
            <w:vAlign w:val="top"/>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1,67</w:t>
            </w:r>
          </w:p>
        </w:tc>
        <w:tc>
          <w:tcPr>
            <w:shd w:fill="auto" w:val="clear"/>
            <w:tcMar>
              <w:top w:w="0.0" w:type="dxa"/>
              <w:left w:w="108.0" w:type="dxa"/>
              <w:bottom w:w="0.0" w:type="dxa"/>
              <w:right w:w="108.0" w:type="dxa"/>
            </w:tcMar>
            <w:vAlign w:val="top"/>
          </w:tcPr>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4138</w:t>
            </w:r>
          </w:p>
        </w:tc>
        <w:tc>
          <w:tcPr>
            <w:shd w:fill="auto" w:val="clear"/>
            <w:tcMar>
              <w:top w:w="0.0" w:type="dxa"/>
              <w:left w:w="108.0" w:type="dxa"/>
              <w:bottom w:w="0.0" w:type="dxa"/>
              <w:right w:w="108.0" w:type="dxa"/>
            </w:tcMar>
            <w:vAlign w:val="top"/>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5204</w:t>
            </w:r>
          </w:p>
        </w:tc>
        <w:tc>
          <w:tcPr>
            <w:shd w:fill="auto" w:val="clear"/>
            <w:tcMar>
              <w:top w:w="0.0" w:type="dxa"/>
              <w:left w:w="108.0" w:type="dxa"/>
              <w:bottom w:w="0.0" w:type="dxa"/>
              <w:right w:w="108.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1066</w:t>
            </w:r>
          </w:p>
        </w:tc>
        <w:tc>
          <w:tcPr>
            <w:shd w:fill="auto" w:val="clear"/>
            <w:tcMar>
              <w:top w:w="0.0" w:type="dxa"/>
              <w:left w:w="108.0" w:type="dxa"/>
              <w:bottom w:w="0.0" w:type="dxa"/>
              <w:right w:w="108.0" w:type="dxa"/>
            </w:tcMar>
            <w:vAlign w:val="top"/>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0,00</w:t>
            </w:r>
          </w:p>
        </w:tc>
      </w:tr>
    </w:tbl>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Особенности анализа прибыли ООО "Вилмаст" обусловлены спецификой формирования доходов, расходов и прибыли от продаж.</w:t>
      </w:r>
    </w:p>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данном предприятии основную долю издержек составляют: расходы на оплату труда, расходы на аренду, расходы на соц. отчисления. На увеличение расходов повлияло повышения уровня расходов на оплату труда, по отношению к товарообороту. В тоже время увеличились транспортные расходы , расходы на отчисления на соц. нужды, расходы на аренду, расходы на рекламу и др. Увеличение издержек обращения произошло за счет увеличения товарооборота в отчетном году по сравнению с прошлым на 1690,9 тыс. руб.</w:t>
      </w:r>
    </w:p>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Проанализируем вловый доход предприятия в таблице 4.9</w:t>
      </w:r>
    </w:p>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4.9 Анализ валового дохода ООО "Вилмаст"</w:t>
      </w:r>
    </w:p>
    <w:tbl>
      <w:tblPr>
        <w:tblStyle w:val="Table12"/>
        <w:tblW w:w="8929.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4"/>
        <w:gridCol w:w="1011.9999999999999"/>
        <w:gridCol w:w="1011.9999999999999"/>
        <w:gridCol w:w="1377.9999999999995"/>
        <w:gridCol w:w="1983.9999999999998"/>
        <w:tblGridChange w:id="0">
          <w:tblGrid>
            <w:gridCol w:w="3544"/>
            <w:gridCol w:w="1011.9999999999999"/>
            <w:gridCol w:w="1011.9999999999999"/>
            <w:gridCol w:w="1377.9999999999995"/>
            <w:gridCol w:w="198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2008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2009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Отклонение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Темп изменения,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Товарооборот,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11896,5</w:t>
            </w:r>
          </w:p>
        </w:tc>
        <w:tc>
          <w:tcPr>
            <w:shd w:fill="auto" w:val="clear"/>
            <w:tcMar>
              <w:top w:w="0.0" w:type="dxa"/>
              <w:left w:w="108.0" w:type="dxa"/>
              <w:bottom w:w="0.0" w:type="dxa"/>
              <w:right w:w="108.0" w:type="dxa"/>
            </w:tcMar>
            <w:vAlign w:val="top"/>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13587,4</w:t>
            </w:r>
          </w:p>
        </w:tc>
        <w:tc>
          <w:tcPr>
            <w:shd w:fill="auto" w:val="clear"/>
            <w:tcMar>
              <w:top w:w="0.0" w:type="dxa"/>
              <w:left w:w="108.0" w:type="dxa"/>
              <w:bottom w:w="0.0" w:type="dxa"/>
              <w:right w:w="108.0" w:type="dxa"/>
            </w:tcMar>
            <w:vAlign w:val="top"/>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1690,9</w:t>
            </w:r>
          </w:p>
        </w:tc>
        <w:tc>
          <w:tcPr>
            <w:shd w:fill="auto" w:val="clear"/>
            <w:tcMar>
              <w:top w:w="0.0" w:type="dxa"/>
              <w:left w:w="108.0" w:type="dxa"/>
              <w:bottom w:w="0.0" w:type="dxa"/>
              <w:right w:w="108.0" w:type="dxa"/>
            </w:tcMa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Валовой доход,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4132,2</w:t>
            </w:r>
          </w:p>
        </w:tc>
        <w:tc>
          <w:tcPr>
            <w:shd w:fill="auto" w:val="clear"/>
            <w:tcMar>
              <w:top w:w="0.0" w:type="dxa"/>
              <w:left w:w="108.0" w:type="dxa"/>
              <w:bottom w:w="0.0" w:type="dxa"/>
              <w:right w:w="108.0" w:type="dxa"/>
            </w:tcMa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5195,8</w:t>
            </w:r>
          </w:p>
        </w:tc>
        <w:tc>
          <w:tcPr>
            <w:shd w:fill="auto" w:val="clear"/>
            <w:tcMar>
              <w:top w:w="0.0" w:type="dxa"/>
              <w:left w:w="108.0" w:type="dxa"/>
              <w:bottom w:w="0.0" w:type="dxa"/>
              <w:right w:w="108.0" w:type="dxa"/>
            </w:tcMar>
            <w:vAlign w:val="top"/>
          </w:tcPr>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1063,6</w:t>
            </w:r>
          </w:p>
        </w:tc>
        <w:tc>
          <w:tcPr>
            <w:shd w:fill="auto" w:val="clear"/>
            <w:tcMar>
              <w:top w:w="0.0" w:type="dxa"/>
              <w:left w:w="108.0" w:type="dxa"/>
              <w:bottom w:w="0.0" w:type="dxa"/>
              <w:right w:w="108.0" w:type="dxa"/>
            </w:tcMar>
            <w:vAlign w:val="top"/>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125,7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Уровень валового дохода, р./р.</w:t>
            </w:r>
          </w:p>
        </w:tc>
        <w:tc>
          <w:tcPr>
            <w:shd w:fill="auto" w:val="clear"/>
            <w:tcMar>
              <w:top w:w="0.0" w:type="dxa"/>
              <w:left w:w="108.0" w:type="dxa"/>
              <w:bottom w:w="0.0" w:type="dxa"/>
              <w:right w:w="108.0" w:type="dxa"/>
            </w:tcMar>
            <w:vAlign w:val="top"/>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0,347</w:t>
            </w:r>
          </w:p>
        </w:tc>
        <w:tc>
          <w:tcPr>
            <w:shd w:fill="auto" w:val="clear"/>
            <w:tcMar>
              <w:top w:w="0.0" w:type="dxa"/>
              <w:left w:w="108.0" w:type="dxa"/>
              <w:bottom w:w="0.0" w:type="dxa"/>
              <w:right w:w="108.0" w:type="dxa"/>
            </w:tcMar>
            <w:vAlign w:val="top"/>
          </w:tcPr>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0,382</w:t>
            </w:r>
          </w:p>
        </w:tc>
        <w:tc>
          <w:tcPr>
            <w:shd w:fill="auto" w:val="clear"/>
            <w:tcMar>
              <w:top w:w="0.0" w:type="dxa"/>
              <w:left w:w="108.0" w:type="dxa"/>
              <w:bottom w:w="0.0" w:type="dxa"/>
              <w:right w:w="108.0" w:type="dxa"/>
            </w:tcMar>
            <w:vAlign w:val="top"/>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0,035</w:t>
            </w:r>
          </w:p>
        </w:tc>
        <w:tc>
          <w:tcPr>
            <w:shd w:fill="auto" w:val="clear"/>
            <w:tcMar>
              <w:top w:w="0.0" w:type="dxa"/>
              <w:left w:w="108.0" w:type="dxa"/>
              <w:bottom w:w="0.0" w:type="dxa"/>
              <w:right w:w="108.0" w:type="dxa"/>
            </w:tcMar>
            <w:vAlign w:val="top"/>
          </w:tcPr>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110,1</w:t>
            </w:r>
          </w:p>
        </w:tc>
      </w:tr>
    </w:tbl>
    <w:p w:rsidR="00000000" w:rsidDel="00000000" w:rsidP="00000000" w:rsidRDefault="00000000" w:rsidRPr="00000000" w14:paraId="0000033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Валовой доход ООО "ВИЛМАСТ " возрос на 25,7% при увеличении товарооборота на 14,2%.</w:t>
      </w:r>
    </w:p>
    <w:p w:rsidR="00000000" w:rsidDel="00000000" w:rsidP="00000000" w:rsidRDefault="00000000" w:rsidRPr="00000000" w14:paraId="000003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Влияние изменения товарооборота на уровень валового дохода (∆ВДто):</w:t>
      </w:r>
    </w:p>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∆ВДто = ∆ТО*Увд0 =1690,9*0,347 = 586,74 тыс. руб.</w:t>
      </w:r>
    </w:p>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3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Влияние изменения уровня валового дохода ВДувд:</w:t>
      </w:r>
    </w:p>
    <w:p w:rsidR="00000000" w:rsidDel="00000000" w:rsidP="00000000" w:rsidRDefault="00000000" w:rsidRPr="00000000" w14:paraId="0000033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3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∆ВДувд = ∆Увд*ТО1 =0,035*13587,4 = 475,5 тыс.руб</w:t>
      </w:r>
      <w:r w:rsidDel="00000000" w:rsidR="00000000" w:rsidRPr="00000000">
        <w:br w:type="page"/>
      </w:r>
      <w:r w:rsidDel="00000000" w:rsidR="00000000" w:rsidRPr="00000000">
        <w:rPr>
          <w:rtl w:val="0"/>
        </w:rPr>
      </w:r>
    </w:p>
    <w:p w:rsidR="00000000" w:rsidDel="00000000" w:rsidP="00000000" w:rsidRDefault="00000000" w:rsidRPr="00000000" w14:paraId="0000033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Проверка: 586,74+475,5=1062,2 тыс.руб.</w:t>
      </w:r>
    </w:p>
    <w:p w:rsidR="00000000" w:rsidDel="00000000" w:rsidP="00000000" w:rsidRDefault="00000000" w:rsidRPr="00000000" w14:paraId="0000034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4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Организация в результате роста объема продаж дополнительно получила 586,74 тыс.руб.</w:t>
      </w:r>
    </w:p>
    <w:p w:rsidR="00000000" w:rsidDel="00000000" w:rsidP="00000000" w:rsidRDefault="00000000" w:rsidRPr="00000000" w14:paraId="0000034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Прибыль от продаж (ПП) формируется на ООО "СИБАВТО" как разность валового дохода и издержек обращения. Для факторного анализа используется модель прибыли от продаж:</w:t>
      </w:r>
    </w:p>
    <w:p w:rsidR="00000000" w:rsidDel="00000000" w:rsidP="00000000" w:rsidRDefault="00000000" w:rsidRPr="00000000" w14:paraId="0000034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ПП = ТО * (Увд – УИ),</w:t>
      </w:r>
    </w:p>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УИ – уровень издержек обращения на 1 руб. товарооборота, р./р.</w:t>
      </w:r>
    </w:p>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ПП0 = 11896,5*(0,347-0,249) = 1165,8 тыс.руб.</w:t>
      </w:r>
    </w:p>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ПП1 = 13587,4*(0,382-0,257) = 1698,42 тыс.руб.</w:t>
      </w:r>
    </w:p>
    <w:p w:rsidR="00000000" w:rsidDel="00000000" w:rsidP="00000000" w:rsidRDefault="00000000" w:rsidRPr="00000000" w14:paraId="0000034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4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показателями рентабельности деятельности ООО "СИБАВТО" являются следующие.</w:t>
      </w:r>
    </w:p>
    <w:p w:rsidR="00000000" w:rsidDel="00000000" w:rsidP="00000000" w:rsidRDefault="00000000" w:rsidRPr="00000000" w14:paraId="0000034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Рентабельность валового дохода (Рвд):</w:t>
      </w:r>
    </w:p>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4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1133856" cy="39814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33856" cy="398145"/>
                    </a:xfrm>
                    <a:prstGeom prst="rect"/>
                    <a:ln/>
                  </pic:spPr>
                </pic:pic>
              </a:graphicData>
            </a:graphic>
          </wp:inline>
        </w:drawing>
      </w:r>
      <w:r w:rsidDel="00000000" w:rsidR="00000000" w:rsidRPr="00000000">
        <w:rPr>
          <w:rtl w:val="0"/>
        </w:rPr>
      </w:r>
    </w:p>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Рвд0 = (1165,8/4132,2)*100% = 28,2%</w:t>
      </w:r>
    </w:p>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Рвд1 = (1698,42/5195,8)*100% = 32,6%</w:t>
      </w:r>
    </w:p>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5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Рентабельность продаж (Рпр):</w:t>
      </w:r>
    </w:p>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Заключение</w:t>
      </w:r>
    </w:p>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проведения анализа финансового состояния ООО «Вилмаст» можно сделать следующие выводы.</w:t>
      </w:r>
    </w:p>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показателями хозяйственной деятельности являются оптовый товарооборот, уровень валового дохода, уровень издержек обращения, прибыль (убыток) от реализации товаров. Оптовый товарооборот вырос на 1690,9 тыс. руб по сравнению с прошлым годом.</w:t>
      </w:r>
    </w:p>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"СИБАВТО" работает с положительными результатами в течение 2008-2009 гг. Если в 2008 г. рентабельность продаж составила 9,8 %, то к 2009 г. она возросла на 2,7 % и составила 12,5 %.</w:t>
      </w:r>
    </w:p>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Товарооборот на протяжении всего периода возрастает и в 2009 г. по сравнению с 2008 г. он возрос на 14,21 % и составил 13587,4тыс. руб., при этом наблюдается повышение уровня издержек обращения на 0,8 %. Замедление оборачиваемости товаров, которая за данный промежуток времени увеличилась на 10,95 % или на 2,33 дней говорит о неэффективности хозяйственной деятельности.</w:t>
      </w:r>
    </w:p>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Товарооборачиваемость можно ускорить в основном за счет совершенствования всей торгово-коммерческой деятельности.</w:t>
      </w:r>
    </w:p>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Фондоотдача выросла в связи с тем, что товарооборот вырос, а стоимость основных фондов уменьшилась.</w:t>
      </w:r>
    </w:p>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Среднегодовая выработка увеличилась на 14,2% (рисунок 2.10.) возможно, в связи с тем, что увеличилось число рабочих дней увеличилось на 3 дня. На 1,14% снизилось отработанное время одним работником за год, возможно, за счет уменьшения продолжительности работы с 10 час. до 9,8 час. Расходы на оплату труда в расчете на 1 руб. товарооборота возросли на 16,7% , т.к. фонд оплаты труда вырос на 33,6% (66,3 тыс.руб.) при увеличении товарооборота на 14,2%.</w:t>
      </w:r>
    </w:p>
    <w:p w:rsidR="00000000" w:rsidDel="00000000" w:rsidP="00000000" w:rsidRDefault="00000000" w:rsidRPr="00000000" w14:paraId="0000035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увеличение расходов повлияло повышения уровня расходов на оплату труда, по отношению к товарообороту. В тоже время увеличились транспортные расходы , расходы на отчисления на соц. нужды, расходы на аренду, расходы на рекламу и др. Увеличение издержек обращения произошло за счет увеличения товарооборота в отчетном году по сравнению с прошлым на 1690,9 тыс. руб.</w:t>
      </w:r>
    </w:p>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разработке направлений совершенствования организации учета движения товаров ООО "Вилмаст". мы выяснили, что главным показателем коммерческой деятельности предприятия является объем товарооборота. Одно из основных условий высокого темпа роста оптового товарооборота – правильная организация. На оптовых предприятиях должен вестись оперативный контроль, как за отгрузкой, так и за реализацией товаров.</w:t>
      </w:r>
    </w:p>
    <w:p w:rsidR="00000000" w:rsidDel="00000000" w:rsidP="00000000" w:rsidRDefault="00000000" w:rsidRPr="00000000" w14:paraId="0000036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было бы актуально применять информационные сети внутри оптовых баз и складов. Это позволит оптимизировать работу по передачи информации внутри базы или склада. Также выяснили, что значительных нововведений требует складской учет.</w:t>
      </w:r>
    </w:p>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Наряду со всеми необходимыми мероприятиями необходимо введение дополнительного контроля за учетом товаров со стороны руководства предприятия. Это означает просмотр руководителем бухгалтерских документов, изучение им нормативных актов, действующих в этой области. Такой подход позволит более рационально расходовать средства на приобретение товарных запасов, тратить меньше времени на убеждение руководства в необходимости приобретения того или иного товара, повысить дисциплину использования товарных запасов сотрудниками предприятия. Кроме того, нужно ввести анализ эффективности использования товарных запасов, по данным бухгалтерского учета под непосредственным контролем </w:t>
      </w:r>
      <w:r w:rsidDel="00000000" w:rsidR="00000000" w:rsidRPr="00000000">
        <w:rPr>
          <w:rFonts w:ascii="Times New Roman" w:cs="Times New Roman" w:eastAsia="Times New Roman" w:hAnsi="Times New Roman"/>
          <w:smallCaps w:val="0"/>
          <w:sz w:val="28"/>
          <w:szCs w:val="28"/>
          <w:u w:val="single"/>
          <w:rtl w:val="0"/>
        </w:rPr>
        <w:t xml:space="preserve">руководителя</w:t>
      </w:r>
      <w:r w:rsidDel="00000000" w:rsidR="00000000" w:rsidRPr="00000000">
        <w:rPr>
          <w:rFonts w:ascii="Times New Roman" w:cs="Times New Roman" w:eastAsia="Times New Roman" w:hAnsi="Times New Roman"/>
          <w:smallCaps w:val="0"/>
          <w:sz w:val="28"/>
          <w:szCs w:val="28"/>
          <w:rtl w:val="0"/>
        </w:rPr>
        <w:t xml:space="preserve"> предприятия. При этом</w:t>
      </w:r>
      <w:r w:rsidDel="00000000" w:rsidR="00000000" w:rsidRPr="00000000">
        <w:rPr>
          <w:rFonts w:ascii="Times New Roman" w:cs="Times New Roman" w:eastAsia="Times New Roman" w:hAnsi="Times New Roman"/>
          <w:smallCaps w:val="0"/>
          <w:sz w:val="28"/>
          <w:szCs w:val="28"/>
          <w:u w:val="single"/>
          <w:rtl w:val="0"/>
        </w:rPr>
        <w:t xml:space="preserve">руководитель</w:t>
      </w:r>
      <w:r w:rsidDel="00000000" w:rsidR="00000000" w:rsidRPr="00000000">
        <w:rPr>
          <w:rFonts w:ascii="Times New Roman" w:cs="Times New Roman" w:eastAsia="Times New Roman" w:hAnsi="Times New Roman"/>
          <w:smallCaps w:val="0"/>
          <w:sz w:val="28"/>
          <w:szCs w:val="28"/>
          <w:rtl w:val="0"/>
        </w:rPr>
        <w:t xml:space="preserve"> будет получать более полную картину состояния дел на предприятии.</w:t>
      </w:r>
    </w:p>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проведении факторного анализа полученные цифры свидетельствуют о не эффективном использовании товарных запасов за анализируемый период. В ходе анализа видим, что замедление товарооборачиваемости с каждым годом возрастает в основном за счет увеличения объемов товарных запасов. Такое увеличение можно объяснить недостаточным контролем и анализом закупок и прогнозированием реализации, а так же отсутствием корректировки движения товара в зависимости от постоянно меняющейся ситуацией на рынке. Немалую роль играет значительное снижение покупательского спроса. Можно сделать вывод, что в сложившейся ситуации ООО "Вилмаст" необходимо временно сократить поставки товаров, для того чтобы увеличить скорость обращения, т.е. товарооборачиваемость.</w:t>
      </w:r>
    </w:p>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Обобщая все полученные результаты в процессе выполнения дипломной работы можно сказать, что ООО "Вилмаст" в области документооборота и учета товаров придерживается принятых положений и правил. Финансовое положение предприятия на данный момент является стабильным, но есть ухудшение положения по сравнению с 2008 годом. Во многом это можно объяснить ситуацией на рынке и изменением спроса. Но так же есть недоработки в области анализа движения товаров.</w:t>
      </w:r>
    </w:p>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Список использованных источников</w:t>
      </w:r>
    </w:p>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Налоговый кодекс Российской Федерации [Текст]: 1 и 2. – М.: Издательство ОМЕГА-Л, 2011. – 640 с.</w:t>
      </w:r>
    </w:p>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ПБУ 1/08 "Учетная политика организации". Утверждено приказом Министерства финансов Российской Федерации от 06.10.08 г. № 106н. [Текст]. // Бухгалтерский учет, 20012. - №44. – с. 10-14.</w:t>
      </w:r>
    </w:p>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Положение по ведению бухгалтерского учета и бухгалтерской отчетности в Российской Федерации. Утверждено приказом Минфина РФ от 29.07.98. № 34н. // Кодексы и законы России. – Новосибирск: Сиб. Унив. Изд-во, 2011.</w:t>
      </w:r>
    </w:p>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Бабаев Ю.А., Комисарова И.П. Бухгалтерский учет. – М.: Юнити-Дана, 20013. – 527 с.</w:t>
      </w:r>
    </w:p>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Басовский Л.Е., Лунева А.М. Экономический анализ. – М.: Инфра-М, 2012.– 582 с.</w:t>
      </w:r>
    </w:p>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Блюмин С.Л., Суханов В.Ф. Экономический факторный анализ. – Липецк: ЛЭГИ, 2011. – 148 с.</w:t>
      </w:r>
    </w:p>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Бородин В.А. Бухгалтерский учет. – М.: Юнити-Дана, 2012. – 528 с.</w:t>
      </w:r>
    </w:p>
    <w:p w:rsidR="00000000" w:rsidDel="00000000" w:rsidP="00000000" w:rsidRDefault="00000000" w:rsidRPr="00000000" w14:paraId="0000036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Бухгалтерский учет в торговле / Под. ред. проф. М.И. Баканова. – М.: Финансы и статистика, 2012. – 576 с.</w:t>
      </w:r>
    </w:p>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Бухгалтерский учет в торговле: учеб. пособие/ Под ред. М.И. Баканова. – 2-е изд., перераб. и доп. – М.: Финансы и статистика,2013. – 624 с.</w:t>
      </w:r>
    </w:p>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Бухгалтерский учет в торговле: Учебник / Под ред. В.В. Кожарского. – Мн.: Новое знание, 2014 – 812 с.</w:t>
      </w:r>
    </w:p>
    <w:p w:rsidR="00000000" w:rsidDel="00000000" w:rsidP="00000000" w:rsidRDefault="00000000" w:rsidRPr="00000000" w14:paraId="0000037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Ковалев, В.В. Основы теории финансового менеджмента: Учебное пособие [Текст] / В.В. Ковалев. – М.: ТК Велби, Проспект, 2014. – 544 с.</w:t>
      </w:r>
    </w:p>
    <w:p w:rsidR="00000000" w:rsidDel="00000000" w:rsidP="00000000" w:rsidRDefault="00000000" w:rsidRPr="00000000" w14:paraId="0000037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Когденко, В.Г. Экономический анализ: Учебное пособие [Текст] / В.Г. Когденко. – 2-е изд. – М.: ЮНИТИ-ДАНА, 2012. – 392 с.</w:t>
      </w:r>
    </w:p>
    <w:p w:rsidR="00000000" w:rsidDel="00000000" w:rsidP="00000000" w:rsidRDefault="00000000" w:rsidRPr="00000000" w14:paraId="0000037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Маркарьян, Э.А. Экономический анализ хозяйственной деятельности: Э.А. Маркарьян, Г.П. Герасименко, – 2-е изд. – Ростов н/Д: Феникс, 2011.</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sectPr>
      <w:headerReference r:id="rId8" w:type="default"/>
      <w:pgSz w:h="16838" w:w="11906"/>
      <w:pgMar w:bottom="1134" w:top="1134" w:left="1701"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ungsuh"/>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