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Введение</w:t>
      </w:r>
    </w:p>
    <w:p w:rsidR="00000000" w:rsidDel="00000000" w:rsidP="00000000" w:rsidRDefault="00000000" w:rsidRPr="00000000" w14:paraId="00000002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Программа «1С:Бухгалтерия» предназначена для автоматизации бухгалтерского и налогового учета, включая подготовку обязательной (регламентированной) отчетности в организации. Бухгалтерский и налоговый учет ведется в соответствии с действующим законодательством Российской Федерации.</w:t>
      </w:r>
    </w:p>
    <w:p w:rsidR="00000000" w:rsidDel="00000000" w:rsidP="00000000" w:rsidRDefault="00000000" w:rsidRPr="00000000" w14:paraId="00000004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Система программ 1С:Предприятие предназначена для решения широкого спектра задач автоматизации учета и управления, стоящих перед динамично развивающимися современными предприятиями. </w:t>
      </w:r>
    </w:p>
    <w:p w:rsidR="00000000" w:rsidDel="00000000" w:rsidP="00000000" w:rsidRDefault="00000000" w:rsidRPr="00000000" w14:paraId="00000005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С:Предприятие представляет собой систему прикладных решений, построенных по единым принципам и на единой технологической платформе. Руководитель может выбрать решение, которое соответствует актуальным потребностям предприятия и будет в дальнейшем развиваться по мере роста предприятия или расширения задач автоматизации.</w:t>
      </w:r>
    </w:p>
    <w:p w:rsidR="00000000" w:rsidDel="00000000" w:rsidP="00000000" w:rsidRDefault="00000000" w:rsidRPr="00000000" w14:paraId="00000006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Задачи учета и управления могут существенно отличаться в зависимости от рода деятельности предприятия, отрасли, специфики продукции или оказываемых услуг, размера и структуры предприятия, требуемого уровня автоматизации. </w:t>
      </w:r>
    </w:p>
    <w:p w:rsidR="00000000" w:rsidDel="00000000" w:rsidP="00000000" w:rsidRDefault="00000000" w:rsidRPr="00000000" w14:paraId="00000007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Универсальность системы 1С:Предприятие позволяет разрабатывать типовые, специализированные и индивидуальные конфигурации, предназначенные для решения различных задач автоматизации учета хозяйственной деятельности предприятий.</w:t>
      </w:r>
    </w:p>
    <w:p w:rsidR="00000000" w:rsidDel="00000000" w:rsidP="00000000" w:rsidRDefault="00000000" w:rsidRPr="00000000" w14:paraId="00000008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В данной работе мы рассмотрим вопросы создания информационной базы 1С:Предприятие 8.0, заполнение справочников, формирование отчетов и основные операции по бухгалтерскому и налоговому учету. </w:t>
      </w:r>
    </w:p>
    <w:p w:rsidR="00000000" w:rsidDel="00000000" w:rsidP="00000000" w:rsidRDefault="00000000" w:rsidRPr="00000000" w14:paraId="00000009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76" w:lineRule="auto"/>
        <w:jc w:val="left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0B">
      <w:pPr>
        <w:spacing w:line="276" w:lineRule="auto"/>
        <w:jc w:val="left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tabs>
          <w:tab w:val="left" w:pos="425"/>
        </w:tabs>
        <w:spacing w:line="360" w:lineRule="auto"/>
        <w:ind w:left="709" w:firstLine="0"/>
        <w:jc w:val="left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Глава 1. Начало работы с программой "1С: Бухгалтерия предприятия 8.0" и ввод первоначальных данных</w:t>
      </w:r>
    </w:p>
    <w:p w:rsidR="00000000" w:rsidDel="00000000" w:rsidP="00000000" w:rsidRDefault="00000000" w:rsidRPr="00000000" w14:paraId="0000000D">
      <w:pPr>
        <w:tabs>
          <w:tab w:val="left" w:pos="425"/>
        </w:tabs>
        <w:spacing w:line="360" w:lineRule="auto"/>
        <w:ind w:left="709" w:firstLine="0"/>
        <w:jc w:val="left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tabs>
          <w:tab w:val="left" w:pos="50"/>
        </w:tabs>
        <w:spacing w:line="360" w:lineRule="auto"/>
        <w:ind w:left="1084" w:hanging="375"/>
        <w:jc w:val="left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1.1</w:t>
        <w:tab/>
        <w:t xml:space="preserve">Создание информационной базы</w:t>
      </w:r>
    </w:p>
    <w:p w:rsidR="00000000" w:rsidDel="00000000" w:rsidP="00000000" w:rsidRDefault="00000000" w:rsidRPr="00000000" w14:paraId="0000000F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Вся информация о конфигурации хранится в информационной базе. Информационная база 1С - это описание всех объектов, используемых в некотором прикладном решении, их поведения и связей между ними. Понятие “информационная база” определяет логику взаимодействия объектов конфигурации. Физическое представление информационных баз определяется форматом файлов, используемых в текущей версии 1С и СУБД. Сама база может размещаться как на локальном компьютере (в случае однопользовательской локальной версии 1С:Предприятие), так и на сервере БД (в случае многопользовательской сетевой версии).</w:t>
      </w:r>
    </w:p>
    <w:p w:rsidR="00000000" w:rsidDel="00000000" w:rsidP="00000000" w:rsidRDefault="00000000" w:rsidRPr="00000000" w14:paraId="00000011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Для добавления информационной базы необходимо запустить программу и в открывшемся окне справа нажать на кнопку «Добавить..».</w:t>
      </w:r>
    </w:p>
    <w:p w:rsidR="00000000" w:rsidDel="00000000" w:rsidP="00000000" w:rsidRDefault="00000000" w:rsidRPr="00000000" w14:paraId="00000012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2943225" cy="2000250"/>
            <wp:effectExtent b="0" l="0" r="0" t="0"/>
            <wp:docPr id="30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000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Далее появится окно выбора режима добавления базы. Можно создать новую или добавить существующую базу. Для создания новой информационной базы необходимо выбрать вариант «Создание новой информационной базы» и нажать кнопку «Далее». Появится окно выбора варианта создания базы. Либо на основании базы-шаблона, либо создание пустой базы (без конфигурации). При выбранном варианте «Создание информационной базы из шаблона» в списке шаблонов выбирается исходный шаблон, указывается название информационной базы и выбирается тип расположения информационной базы.</w:t>
      </w:r>
    </w:p>
    <w:p w:rsidR="00000000" w:rsidDel="00000000" w:rsidP="00000000" w:rsidRDefault="00000000" w:rsidRPr="00000000" w14:paraId="00000016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После указанных действий в списке информационных баз появилась наша новая база. Что войти в программу, нужно в списке предлагаемых баз выбрать необходимую и нажать справа кнопку «1С:Предприятие». В новом окне откроется информационная база. </w:t>
      </w:r>
    </w:p>
    <w:p w:rsidR="00000000" w:rsidDel="00000000" w:rsidP="00000000" w:rsidRDefault="00000000" w:rsidRPr="00000000" w14:paraId="00000017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3267075" cy="2438400"/>
            <wp:effectExtent b="0" l="0" r="0" t="0"/>
            <wp:docPr id="32" name="image47.png"/>
            <a:graphic>
              <a:graphicData uri="http://schemas.openxmlformats.org/drawingml/2006/picture">
                <pic:pic>
                  <pic:nvPicPr>
                    <pic:cNvPr id="0" name="image4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43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После запуска программы в первый раз снизу откроется окно со служебным сообщением, в котором будет указана информация о начальном заполнении. Программа поставляется с уже заполненным планом счетов и другими настройками, подготовленными для ведения бухгалтерского и налогового учета.</w:t>
      </w:r>
    </w:p>
    <w:p w:rsidR="00000000" w:rsidDel="00000000" w:rsidP="00000000" w:rsidRDefault="00000000" w:rsidRPr="00000000" w14:paraId="0000001B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После того как программа выдаст сообщение об успешном заполнении можно начинать работу по вводу основных сведений об организации. </w:t>
      </w:r>
    </w:p>
    <w:p w:rsidR="00000000" w:rsidDel="00000000" w:rsidP="00000000" w:rsidRDefault="00000000" w:rsidRPr="00000000" w14:paraId="0000001C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360" w:lineRule="auto"/>
        <w:ind w:left="1084" w:hanging="375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1.2</w:t>
        <w:tab/>
        <w:t xml:space="preserve">Ввод основных сведений об организации</w:t>
      </w:r>
    </w:p>
    <w:p w:rsidR="00000000" w:rsidDel="00000000" w:rsidP="00000000" w:rsidRDefault="00000000" w:rsidRPr="00000000" w14:paraId="0000001E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360" w:lineRule="auto"/>
        <w:ind w:left="0" w:firstLine="709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Сведения об организации хранятся в справочнике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Организации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 меню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Предприятие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Для правильного автоматического заполнения документов и отчетов следует внести следующие данные:</w:t>
      </w:r>
    </w:p>
    <w:p w:rsidR="00000000" w:rsidDel="00000000" w:rsidP="00000000" w:rsidRDefault="00000000" w:rsidRPr="00000000" w14:paraId="00000021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полное и сокращенное наименование организации;</w:t>
      </w:r>
    </w:p>
    <w:p w:rsidR="00000000" w:rsidDel="00000000" w:rsidP="00000000" w:rsidRDefault="00000000" w:rsidRPr="00000000" w14:paraId="00000022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регистрационные коды;</w:t>
      </w:r>
    </w:p>
    <w:p w:rsidR="00000000" w:rsidDel="00000000" w:rsidP="00000000" w:rsidRDefault="00000000" w:rsidRPr="00000000" w14:paraId="00000023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контактную информацию;</w:t>
      </w:r>
    </w:p>
    <w:p w:rsidR="00000000" w:rsidDel="00000000" w:rsidP="00000000" w:rsidRDefault="00000000" w:rsidRPr="00000000" w14:paraId="00000024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юридическое и физическое лицо;</w:t>
      </w:r>
    </w:p>
    <w:p w:rsidR="00000000" w:rsidDel="00000000" w:rsidP="00000000" w:rsidRDefault="00000000" w:rsidRPr="00000000" w14:paraId="00000025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префикс (если необходимо).</w:t>
      </w:r>
    </w:p>
    <w:p w:rsidR="00000000" w:rsidDel="00000000" w:rsidP="00000000" w:rsidRDefault="00000000" w:rsidRPr="00000000" w14:paraId="00000026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tabs>
          <w:tab w:val="left" w:pos="4503"/>
        </w:tabs>
        <w:spacing w:line="360" w:lineRule="auto"/>
        <w:ind w:left="0" w:firstLine="709"/>
        <w:jc w:val="left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1838325" cy="1838325"/>
            <wp:effectExtent b="0" l="0" r="0" t="0"/>
            <wp:docPr id="31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838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Префикс нужен для того, чтобы обеспечить сквозную нумерацию документов каждой организации.</w:t>
      </w:r>
    </w:p>
    <w:p w:rsidR="00000000" w:rsidDel="00000000" w:rsidP="00000000" w:rsidRDefault="00000000" w:rsidRPr="00000000" w14:paraId="0000002A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Адрес организации заполняется три раза. Для указания юридического, фактического и почтового места нахождения предприятия.</w:t>
      </w:r>
    </w:p>
    <w:p w:rsidR="00000000" w:rsidDel="00000000" w:rsidP="00000000" w:rsidRDefault="00000000" w:rsidRPr="00000000" w14:paraId="0000002B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360" w:lineRule="auto"/>
        <w:ind w:left="709" w:firstLine="0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2095500" cy="1960880"/>
            <wp:effectExtent b="0" l="0" r="0" t="0"/>
            <wp:docPr id="34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9608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2124075" cy="2000250"/>
            <wp:effectExtent b="0" l="0" r="0" t="0"/>
            <wp:docPr id="33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000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ffffff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ffffff"/>
          <w:sz w:val="28"/>
          <w:szCs w:val="28"/>
          <w:rtl w:val="0"/>
        </w:rPr>
        <w:t xml:space="preserve">бухгалтерский налоговый учет программа</w:t>
      </w:r>
    </w:p>
    <w:p w:rsidR="00000000" w:rsidDel="00000000" w:rsidP="00000000" w:rsidRDefault="00000000" w:rsidRPr="00000000" w14:paraId="0000002F">
      <w:pPr>
        <w:spacing w:line="276" w:lineRule="auto"/>
        <w:jc w:val="left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1.3</w:t>
        <w:tab/>
        <w:t xml:space="preserve">Учетная политика организации</w:t>
      </w:r>
    </w:p>
    <w:p w:rsidR="00000000" w:rsidDel="00000000" w:rsidP="00000000" w:rsidRDefault="00000000" w:rsidRPr="00000000" w14:paraId="00000031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Действующее законодательство предоставляет возможность выбора одного из нескольких способов ведения бухгалтерского и налогового учета по ряду направлений. Совокупность выбранных способов учета является учетной политикой организации.</w:t>
      </w:r>
    </w:p>
    <w:p w:rsidR="00000000" w:rsidDel="00000000" w:rsidP="00000000" w:rsidRDefault="00000000" w:rsidRPr="00000000" w14:paraId="00000033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Сведения об учетной политике организации хранятся в регистре сведений Учетная политика меню Предприятие - Учетная политика (бухгалтерский учет/налоговый учет/по персоналу).</w:t>
      </w:r>
    </w:p>
    <w:p w:rsidR="00000000" w:rsidDel="00000000" w:rsidP="00000000" w:rsidRDefault="00000000" w:rsidRPr="00000000" w14:paraId="00000034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При вводе новой записи об учетной политике (бухгалтерский учет) необходимо указать организацию, дату начала отчетного периода, в котором будет применяться данная учетная политика, а также устанавливаются следующие настройки :</w:t>
      </w:r>
    </w:p>
    <w:p w:rsidR="00000000" w:rsidDel="00000000" w:rsidP="00000000" w:rsidRDefault="00000000" w:rsidRPr="00000000" w14:paraId="00000035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Способ оценки МПЗ при выбытие - это способ определения стоимости товаров, материалов и готовой продукции при их отгрузке и списании. Возможен выбор способа выбытия: по средней стоимости или по ФИФО.</w:t>
      </w:r>
    </w:p>
    <w:p w:rsidR="00000000" w:rsidDel="00000000" w:rsidP="00000000" w:rsidRDefault="00000000" w:rsidRPr="00000000" w14:paraId="00000036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Способ оценки товаров в рознице - устанавливается для организаций, осуществляющих розничную торговую деятельность: по стоимости приобретения или по продажной стоимости.</w:t>
      </w:r>
    </w:p>
    <w:p w:rsidR="00000000" w:rsidDel="00000000" w:rsidP="00000000" w:rsidRDefault="00000000" w:rsidRPr="00000000" w14:paraId="00000037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tabs>
          <w:tab w:val="left" w:pos="5991"/>
        </w:tabs>
        <w:spacing w:line="360" w:lineRule="auto"/>
        <w:ind w:left="0" w:firstLine="709"/>
        <w:jc w:val="left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2555240" cy="1149985"/>
            <wp:effectExtent b="0" l="0" r="0" t="0"/>
            <wp:docPr id="36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55240" cy="11499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tabs>
          <w:tab w:val="left" w:pos="5991"/>
        </w:tabs>
        <w:spacing w:line="360" w:lineRule="auto"/>
        <w:ind w:left="0" w:firstLine="709"/>
        <w:jc w:val="left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tabs>
          <w:tab w:val="left" w:pos="5991"/>
        </w:tabs>
        <w:spacing w:line="360" w:lineRule="auto"/>
        <w:ind w:left="0" w:firstLine="709"/>
        <w:jc w:val="left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При вводе новой записи об учетной политике (налоговый учет) необходимо указать систему налогообложения на вкладке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Основная.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360" w:lineRule="auto"/>
        <w:ind w:left="0" w:firstLine="709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Если организация использует общую систему налогообложения заполняются вкладки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НДС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 и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Налог на прибыль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. В обязательном порядке для всех организации необходимо заполнить вкладку по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НДФЛ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1990725" cy="1590675"/>
            <wp:effectExtent b="0" l="0" r="0" t="0"/>
            <wp:docPr id="35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590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Следующим этапом ввода данных является заполнение учетной политики организации по персоналу.</w:t>
      </w:r>
    </w:p>
    <w:p w:rsidR="00000000" w:rsidDel="00000000" w:rsidP="00000000" w:rsidRDefault="00000000" w:rsidRPr="00000000" w14:paraId="00000040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2114550" cy="1112520"/>
            <wp:effectExtent b="0" l="0" r="0" t="0"/>
            <wp:docPr id="38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1125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1.4 Заполнение справочника Подразделения организаций</w:t>
      </w:r>
    </w:p>
    <w:p w:rsidR="00000000" w:rsidDel="00000000" w:rsidP="00000000" w:rsidRDefault="00000000" w:rsidRPr="00000000" w14:paraId="00000044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Для отражения организационной структуры организации необходимо заполнить справочник подразделений организации. Справочник предназначен для хранения списка подразделений организации, в разрезе которых ведется аналитический учет в программе.</w:t>
      </w:r>
    </w:p>
    <w:p w:rsidR="00000000" w:rsidDel="00000000" w:rsidP="00000000" w:rsidRDefault="00000000" w:rsidRPr="00000000" w14:paraId="00000046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Справочник позволяет вести учет затрат на местах производства работ (цех №1, цех №2) и по местам концентрации хозяйственных функций (дирекция, бухгалтерия).</w:t>
      </w:r>
    </w:p>
    <w:p w:rsidR="00000000" w:rsidDel="00000000" w:rsidP="00000000" w:rsidRDefault="00000000" w:rsidRPr="00000000" w14:paraId="00000047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2790825" cy="1933575"/>
            <wp:effectExtent b="0" l="0" r="0" t="0"/>
            <wp:docPr id="37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933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line="360" w:lineRule="auto"/>
        <w:ind w:left="0" w:firstLine="709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Справочник содержится в меню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Операции - Справочники - Подразделения организаций.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tabs>
          <w:tab w:val="left" w:pos="4785"/>
        </w:tabs>
        <w:spacing w:line="360" w:lineRule="auto"/>
        <w:ind w:left="0" w:firstLine="709"/>
        <w:jc w:val="left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1.5 Заполнение справочника Контрагенты</w:t>
      </w:r>
    </w:p>
    <w:p w:rsidR="00000000" w:rsidDel="00000000" w:rsidP="00000000" w:rsidRDefault="00000000" w:rsidRPr="00000000" w14:paraId="0000004D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Для отражения данных покупателей, поставщиков, сотрудников в 1С:Бухгалтеря используется справочник «Контрагенты». Контрагенты в 1С находятся в меню Операции - Справочники - Контрагенты. Второй вариант: Основная деятельность - Контрагенты</w:t>
      </w:r>
    </w:p>
    <w:p w:rsidR="00000000" w:rsidDel="00000000" w:rsidP="00000000" w:rsidRDefault="00000000" w:rsidRPr="00000000" w14:paraId="0000004F">
      <w:pPr>
        <w:tabs>
          <w:tab w:val="left" w:pos="3871"/>
        </w:tabs>
        <w:spacing w:line="360" w:lineRule="auto"/>
        <w:ind w:left="0" w:firstLine="709"/>
        <w:jc w:val="left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tabs>
          <w:tab w:val="left" w:pos="3871"/>
        </w:tabs>
        <w:spacing w:line="360" w:lineRule="auto"/>
        <w:ind w:left="0" w:firstLine="709"/>
        <w:jc w:val="left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line="240" w:lineRule="auto"/>
        <w:jc w:val="left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1285875" cy="2152650"/>
            <wp:effectExtent b="0" l="0" r="0" t="0"/>
            <wp:docPr id="41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2152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line="360" w:lineRule="auto"/>
        <w:ind w:left="0" w:firstLine="709"/>
        <w:jc w:val="left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line="360" w:lineRule="auto"/>
        <w:ind w:left="0" w:firstLine="709"/>
        <w:jc w:val="left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line="360" w:lineRule="auto"/>
        <w:ind w:left="0" w:firstLine="709"/>
        <w:jc w:val="left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line="360" w:lineRule="auto"/>
        <w:ind w:left="0" w:firstLine="709"/>
        <w:jc w:val="left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line="360" w:lineRule="auto"/>
        <w:ind w:left="0" w:firstLine="709"/>
        <w:jc w:val="left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line="360" w:lineRule="auto"/>
        <w:ind w:left="0" w:firstLine="709"/>
        <w:jc w:val="left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line="360" w:lineRule="auto"/>
        <w:ind w:left="0" w:firstLine="709"/>
        <w:jc w:val="left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Справочник представлен в иерархическом виде, что позволяет создавать группы и объединять элементы справочника по определенным признака. Это первое правило эффективного использования справочника “Контрагенты” - то есть обязательное создание групп. При создании группы нужно всего лишь заполнить ее наименование.</w:t>
      </w:r>
    </w:p>
    <w:p w:rsidR="00000000" w:rsidDel="00000000" w:rsidP="00000000" w:rsidRDefault="00000000" w:rsidRPr="00000000" w14:paraId="00000059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3219450" cy="1600200"/>
            <wp:effectExtent b="0" l="0" r="0" t="0"/>
            <wp:docPr id="39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160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line="360" w:lineRule="auto"/>
        <w:ind w:left="0" w:firstLine="709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После того как группы контрагентов созданы заходим в нужную и создаем элемент справочника. Во вкладке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Общие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 заполняем данные контрагента: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Наименование;</w:t>
      </w:r>
    </w:p>
    <w:p w:rsidR="00000000" w:rsidDel="00000000" w:rsidP="00000000" w:rsidRDefault="00000000" w:rsidRPr="00000000" w14:paraId="0000005E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Полное наименование;</w:t>
      </w:r>
    </w:p>
    <w:p w:rsidR="00000000" w:rsidDel="00000000" w:rsidP="00000000" w:rsidRDefault="00000000" w:rsidRPr="00000000" w14:paraId="0000005F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Юридическое или физическое лицо;</w:t>
      </w:r>
    </w:p>
    <w:p w:rsidR="00000000" w:rsidDel="00000000" w:rsidP="00000000" w:rsidRDefault="00000000" w:rsidRPr="00000000" w14:paraId="00000060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ИНН и КПП</w:t>
      </w:r>
    </w:p>
    <w:p w:rsidR="00000000" w:rsidDel="00000000" w:rsidP="00000000" w:rsidRDefault="00000000" w:rsidRPr="00000000" w14:paraId="00000061">
      <w:pPr>
        <w:tabs>
          <w:tab w:val="left" w:pos="4784"/>
        </w:tabs>
        <w:spacing w:line="360" w:lineRule="auto"/>
        <w:ind w:left="0" w:firstLine="709"/>
        <w:jc w:val="left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tabs>
          <w:tab w:val="left" w:pos="4784"/>
        </w:tabs>
        <w:spacing w:line="360" w:lineRule="auto"/>
        <w:ind w:left="0" w:firstLine="709"/>
        <w:jc w:val="left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tabs>
          <w:tab w:val="left" w:pos="4075"/>
        </w:tabs>
        <w:spacing w:line="360" w:lineRule="auto"/>
        <w:ind w:left="709" w:firstLine="0"/>
        <w:jc w:val="left"/>
        <w:rPr>
          <w:rFonts w:ascii="Calibri" w:cs="Calibri" w:eastAsia="Calibri" w:hAnsi="Calibri"/>
          <w:b w:val="0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line="240" w:lineRule="auto"/>
        <w:jc w:val="left"/>
        <w:rPr>
          <w:rFonts w:ascii="Calibri" w:cs="Calibri" w:eastAsia="Calibri" w:hAnsi="Calibri"/>
          <w:b w:val="0"/>
          <w:color w:val="000000"/>
          <w:sz w:val="22"/>
          <w:szCs w:val="22"/>
        </w:rPr>
      </w:pPr>
      <w:r w:rsidDel="00000000" w:rsidR="00000000" w:rsidRPr="00000000">
        <w:rPr/>
        <w:drawing>
          <wp:inline distB="0" distT="0" distL="0" distR="0">
            <wp:extent cx="2628900" cy="2209800"/>
            <wp:effectExtent b="0" l="0" r="0" t="0"/>
            <wp:docPr id="40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209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line="360" w:lineRule="auto"/>
        <w:ind w:left="709" w:firstLine="0"/>
        <w:jc w:val="left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line="276" w:lineRule="auto"/>
        <w:jc w:val="left"/>
        <w:rPr>
          <w:rFonts w:ascii="Calibri" w:cs="Calibri" w:eastAsia="Calibri" w:hAnsi="Calibri"/>
          <w:b w:val="0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6D">
      <w:pPr>
        <w:spacing w:line="276" w:lineRule="auto"/>
        <w:jc w:val="left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line="360" w:lineRule="auto"/>
        <w:ind w:left="0" w:firstLine="709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Во вкладке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Контакты 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указывается юридический и фактический адрес контрагента.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tabs>
          <w:tab w:val="left" w:pos="1241"/>
        </w:tabs>
        <w:spacing w:line="360" w:lineRule="auto"/>
        <w:ind w:left="709" w:firstLine="0"/>
        <w:jc w:val="both"/>
        <w:rPr>
          <w:rFonts w:ascii="Calibri" w:cs="Calibri" w:eastAsia="Calibri" w:hAnsi="Calibri"/>
          <w:b w:val="0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line="240" w:lineRule="auto"/>
        <w:jc w:val="left"/>
        <w:rPr>
          <w:rFonts w:ascii="Calibri" w:cs="Calibri" w:eastAsia="Calibri" w:hAnsi="Calibri"/>
          <w:b w:val="0"/>
          <w:color w:val="000000"/>
          <w:sz w:val="22"/>
          <w:szCs w:val="22"/>
        </w:rPr>
      </w:pPr>
      <w:r w:rsidDel="00000000" w:rsidR="00000000" w:rsidRPr="00000000">
        <w:rPr/>
        <w:drawing>
          <wp:inline distB="0" distT="0" distL="0" distR="0">
            <wp:extent cx="1552575" cy="2162175"/>
            <wp:effectExtent b="0" l="0" r="0" t="0"/>
            <wp:docPr id="42" name="image49.png"/>
            <a:graphic>
              <a:graphicData uri="http://schemas.openxmlformats.org/drawingml/2006/picture">
                <pic:pic>
                  <pic:nvPicPr>
                    <pic:cNvPr id="0" name="image49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162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line="360" w:lineRule="auto"/>
        <w:ind w:left="709" w:firstLine="0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tabs>
          <w:tab w:val="left" w:pos="1950"/>
        </w:tabs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tabs>
          <w:tab w:val="left" w:pos="1950"/>
        </w:tabs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tabs>
          <w:tab w:val="left" w:pos="1950"/>
        </w:tabs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tabs>
          <w:tab w:val="left" w:pos="1950"/>
        </w:tabs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tabs>
          <w:tab w:val="left" w:pos="1950"/>
        </w:tabs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tabs>
          <w:tab w:val="left" w:pos="1950"/>
        </w:tabs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tabs>
          <w:tab w:val="left" w:pos="1950"/>
        </w:tabs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tabs>
          <w:tab w:val="left" w:pos="1950"/>
        </w:tabs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tabs>
          <w:tab w:val="left" w:pos="1950"/>
        </w:tabs>
        <w:spacing w:line="360" w:lineRule="auto"/>
        <w:ind w:left="0" w:firstLine="709"/>
        <w:jc w:val="both"/>
        <w:rPr/>
      </w:pPr>
      <w:r w:rsidDel="00000000" w:rsidR="00000000" w:rsidRPr="00000000">
        <w:rPr/>
        <w:drawing>
          <wp:inline distB="0" distT="0" distL="0" distR="0">
            <wp:extent cx="2657475" cy="2228850"/>
            <wp:effectExtent b="0" l="0" r="0" t="0"/>
            <wp:docPr id="43" name="image43.png"/>
            <a:graphic>
              <a:graphicData uri="http://schemas.openxmlformats.org/drawingml/2006/picture">
                <pic:pic>
                  <pic:nvPicPr>
                    <pic:cNvPr id="0" name="image43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228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tabs>
          <w:tab w:val="left" w:pos="1950"/>
        </w:tabs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Если контрагент является физическим лицом, то заполняются личные данные физического лица:</w:t>
      </w:r>
    </w:p>
    <w:p w:rsidR="00000000" w:rsidDel="00000000" w:rsidP="00000000" w:rsidRDefault="00000000" w:rsidRPr="00000000" w14:paraId="0000007E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дата рождения;</w:t>
      </w:r>
    </w:p>
    <w:p w:rsidR="00000000" w:rsidDel="00000000" w:rsidP="00000000" w:rsidRDefault="00000000" w:rsidRPr="00000000" w14:paraId="0000007F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пол;</w:t>
      </w:r>
    </w:p>
    <w:p w:rsidR="00000000" w:rsidDel="00000000" w:rsidP="00000000" w:rsidRDefault="00000000" w:rsidRPr="00000000" w14:paraId="00000080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место рождения;</w:t>
      </w:r>
    </w:p>
    <w:p w:rsidR="00000000" w:rsidDel="00000000" w:rsidP="00000000" w:rsidRDefault="00000000" w:rsidRPr="00000000" w14:paraId="00000081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данные удостоверения личности;</w:t>
      </w:r>
    </w:p>
    <w:p w:rsidR="00000000" w:rsidDel="00000000" w:rsidP="00000000" w:rsidRDefault="00000000" w:rsidRPr="00000000" w14:paraId="00000082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ИНН;</w:t>
      </w:r>
    </w:p>
    <w:p w:rsidR="00000000" w:rsidDel="00000000" w:rsidP="00000000" w:rsidRDefault="00000000" w:rsidRPr="00000000" w14:paraId="00000083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СНИЛС;</w:t>
      </w:r>
    </w:p>
    <w:p w:rsidR="00000000" w:rsidDel="00000000" w:rsidP="00000000" w:rsidRDefault="00000000" w:rsidRPr="00000000" w14:paraId="00000084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контактная информация. </w:t>
      </w:r>
    </w:p>
    <w:p w:rsidR="00000000" w:rsidDel="00000000" w:rsidP="00000000" w:rsidRDefault="00000000" w:rsidRPr="00000000" w14:paraId="00000085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tabs>
          <w:tab w:val="left" w:pos="1241"/>
        </w:tabs>
        <w:spacing w:line="360" w:lineRule="auto"/>
        <w:ind w:left="709" w:firstLine="0"/>
        <w:jc w:val="both"/>
        <w:rPr>
          <w:rFonts w:ascii="Calibri" w:cs="Calibri" w:eastAsia="Calibri" w:hAnsi="Calibri"/>
          <w:b w:val="0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line="240" w:lineRule="auto"/>
        <w:jc w:val="left"/>
        <w:rPr>
          <w:rFonts w:ascii="Calibri" w:cs="Calibri" w:eastAsia="Calibri" w:hAnsi="Calibri"/>
          <w:b w:val="0"/>
          <w:color w:val="000000"/>
          <w:sz w:val="22"/>
          <w:szCs w:val="22"/>
        </w:rPr>
      </w:pPr>
      <w:r w:rsidDel="00000000" w:rsidR="00000000" w:rsidRPr="00000000">
        <w:rPr/>
        <w:drawing>
          <wp:inline distB="0" distT="0" distL="0" distR="0">
            <wp:extent cx="2057400" cy="2400300"/>
            <wp:effectExtent b="0" l="0" r="0" t="0"/>
            <wp:docPr id="44" name="image46.png"/>
            <a:graphic>
              <a:graphicData uri="http://schemas.openxmlformats.org/drawingml/2006/picture">
                <pic:pic>
                  <pic:nvPicPr>
                    <pic:cNvPr id="0" name="image46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400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pacing w:line="360" w:lineRule="auto"/>
        <w:ind w:left="709" w:firstLine="0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tabs>
          <w:tab w:val="left" w:pos="4784"/>
        </w:tabs>
        <w:spacing w:line="360" w:lineRule="auto"/>
        <w:ind w:left="0" w:firstLine="709"/>
        <w:jc w:val="left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1552575" cy="1152525"/>
            <wp:effectExtent b="0" l="0" r="0" t="0"/>
            <wp:docPr id="45" name="image44.png"/>
            <a:graphic>
              <a:graphicData uri="http://schemas.openxmlformats.org/drawingml/2006/picture">
                <pic:pic>
                  <pic:nvPicPr>
                    <pic:cNvPr id="0" name="image44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152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tabs>
          <w:tab w:val="left" w:pos="1950"/>
        </w:tabs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spacing w:line="360" w:lineRule="auto"/>
        <w:ind w:left="0" w:firstLine="709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При вводе данных о физическом лице можно пройти по ссылке вверху справа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Подробнее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 и указать информацию о положенных данному лицу налоговых вычетах.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tabs>
          <w:tab w:val="left" w:pos="4784"/>
        </w:tabs>
        <w:spacing w:line="360" w:lineRule="auto"/>
        <w:ind w:left="0" w:firstLine="709"/>
        <w:jc w:val="left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2018030" cy="1734820"/>
            <wp:effectExtent b="0" l="0" r="0" t="0"/>
            <wp:docPr id="46" name="image41.png"/>
            <a:graphic>
              <a:graphicData uri="http://schemas.openxmlformats.org/drawingml/2006/picture">
                <pic:pic>
                  <pic:nvPicPr>
                    <pic:cNvPr id="0" name="image41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18030" cy="17348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pacing w:line="360" w:lineRule="auto"/>
        <w:ind w:left="0" w:firstLine="709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Во вкладке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Счета и договоры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 заполняются данные о расчетных счетах контрагента с указанием полного наименования банка. В поле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Договоры контрагентов 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заполняется информация о договорах, в частности вид договора (с поставщиком, с покупателем, с комитентом, с комиссионером, прочие), а также наименование.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pacing w:line="360" w:lineRule="auto"/>
        <w:ind w:left="709" w:firstLine="0"/>
        <w:jc w:val="both"/>
        <w:rPr>
          <w:rFonts w:ascii="Calibri" w:cs="Calibri" w:eastAsia="Calibri" w:hAnsi="Calibri"/>
          <w:b w:val="0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pacing w:line="240" w:lineRule="auto"/>
        <w:jc w:val="left"/>
        <w:rPr>
          <w:rFonts w:ascii="Calibri" w:cs="Calibri" w:eastAsia="Calibri" w:hAnsi="Calibri"/>
          <w:b w:val="0"/>
          <w:color w:val="000000"/>
          <w:sz w:val="22"/>
          <w:szCs w:val="22"/>
        </w:rPr>
      </w:pPr>
      <w:r w:rsidDel="00000000" w:rsidR="00000000" w:rsidRPr="00000000">
        <w:rPr/>
        <w:drawing>
          <wp:inline distB="0" distT="0" distL="0" distR="0">
            <wp:extent cx="2609850" cy="2228850"/>
            <wp:effectExtent b="0" l="0" r="0" t="0"/>
            <wp:docPr id="47" name="image42.png"/>
            <a:graphic>
              <a:graphicData uri="http://schemas.openxmlformats.org/drawingml/2006/picture">
                <pic:pic>
                  <pic:nvPicPr>
                    <pic:cNvPr id="0" name="image42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228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pacing w:line="360" w:lineRule="auto"/>
        <w:ind w:left="709" w:firstLine="0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9B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2638425" cy="2219325"/>
            <wp:effectExtent b="0" l="0" r="0" t="0"/>
            <wp:docPr id="48" name="image45.png"/>
            <a:graphic>
              <a:graphicData uri="http://schemas.openxmlformats.org/drawingml/2006/picture">
                <pic:pic>
                  <pic:nvPicPr>
                    <pic:cNvPr id="0" name="image45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219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.6 Заполнение справочника Склады</w:t>
      </w:r>
    </w:p>
    <w:p w:rsidR="00000000" w:rsidDel="00000000" w:rsidP="00000000" w:rsidRDefault="00000000" w:rsidRPr="00000000" w14:paraId="000000A6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Справочник «Склады» предназначен для ведения списка мест хранения товарно-материальных ценностей (ТМЦ). В качестве места хранения может выступать не только склад в общепринятом смысле этого слова, но и кладовая, площадка хранения, торговый зал, секция торгового зала, кузов грузовика. Для добавления элемента справочника переходим по меню Основная деятельность - Склады (места хранения).  </w:t>
      </w:r>
    </w:p>
    <w:p w:rsidR="00000000" w:rsidDel="00000000" w:rsidP="00000000" w:rsidRDefault="00000000" w:rsidRPr="00000000" w14:paraId="000000A8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3314700" cy="2055495"/>
            <wp:effectExtent b="0" l="0" r="0" t="0"/>
            <wp:docPr id="49" name="image40.png"/>
            <a:graphic>
              <a:graphicData uri="http://schemas.openxmlformats.org/drawingml/2006/picture">
                <pic:pic>
                  <pic:nvPicPr>
                    <pic:cNvPr id="0" name="image40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0554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tabs>
          <w:tab w:val="left" w:pos="5920"/>
        </w:tabs>
        <w:spacing w:line="360" w:lineRule="auto"/>
        <w:ind w:left="0" w:firstLine="709"/>
        <w:jc w:val="left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tabs>
          <w:tab w:val="left" w:pos="5920"/>
        </w:tabs>
        <w:spacing w:line="360" w:lineRule="auto"/>
        <w:ind w:left="0" w:firstLine="709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В открывшемся окне добавляем новый элемент. Указываем</w:t>
      </w:r>
      <w:r w:rsidDel="00000000" w:rsidR="00000000" w:rsidRPr="00000000">
        <w:rPr>
          <w:rFonts w:ascii="Calibri" w:cs="Calibri" w:eastAsia="Calibri" w:hAnsi="Calibri"/>
          <w:b w:val="0"/>
          <w:color w:val="000000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наименование,</w:t>
      </w:r>
      <w:r w:rsidDel="00000000" w:rsidR="00000000" w:rsidRPr="00000000">
        <w:rPr>
          <w:rFonts w:ascii="Calibri" w:cs="Calibri" w:eastAsia="Calibri" w:hAnsi="Calibri"/>
          <w:b w:val="0"/>
          <w:color w:val="000000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тип цен и вид склада.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tabs>
          <w:tab w:val="left" w:pos="5920"/>
        </w:tabs>
        <w:spacing w:line="360" w:lineRule="auto"/>
        <w:ind w:left="0" w:firstLine="709"/>
        <w:jc w:val="left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tabs>
          <w:tab w:val="left" w:pos="5920"/>
        </w:tabs>
        <w:spacing w:line="360" w:lineRule="auto"/>
        <w:ind w:left="0" w:firstLine="709"/>
        <w:jc w:val="left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1943100" cy="1019175"/>
            <wp:effectExtent b="0" l="0" r="0" t="0"/>
            <wp:docPr id="20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019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1.7 Заполнение справочника Номенклатура</w:t>
      </w:r>
    </w:p>
    <w:p w:rsidR="00000000" w:rsidDel="00000000" w:rsidP="00000000" w:rsidRDefault="00000000" w:rsidRPr="00000000" w14:paraId="000000B0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spacing w:line="360" w:lineRule="auto"/>
        <w:ind w:left="0" w:firstLine="709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Для удобства отражения списка номенклатуры в программе предусмотрен ввод Номенклатурных групп. Ввод возможен через меню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Операции - Справочники - Номенклатурные группы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spacing w:line="276" w:lineRule="auto"/>
        <w:jc w:val="left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tabs>
          <w:tab w:val="left" w:pos="4784"/>
        </w:tabs>
        <w:spacing w:line="360" w:lineRule="auto"/>
        <w:ind w:left="0" w:firstLine="709"/>
        <w:jc w:val="left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1676400" cy="1857375"/>
            <wp:effectExtent b="0" l="0" r="0" t="0"/>
            <wp:docPr id="21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857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Для заполнения справочника Номенклатура заходим в меню Основная деятельность - Товары (материалы, продукция, услуги) - Номенклатура</w:t>
      </w:r>
    </w:p>
    <w:p w:rsidR="00000000" w:rsidDel="00000000" w:rsidP="00000000" w:rsidRDefault="00000000" w:rsidRPr="00000000" w14:paraId="000000B6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1800225" cy="1552575"/>
            <wp:effectExtent b="0" l="0" r="0" t="0"/>
            <wp:docPr id="22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552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Для удобства в программе уже существует группировка по папкам.</w:t>
      </w:r>
    </w:p>
    <w:p w:rsidR="00000000" w:rsidDel="00000000" w:rsidP="00000000" w:rsidRDefault="00000000" w:rsidRPr="00000000" w14:paraId="000000BA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2562225" cy="1143000"/>
            <wp:effectExtent b="0" l="0" r="0" t="0"/>
            <wp:docPr id="23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14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spacing w:line="276" w:lineRule="auto"/>
        <w:jc w:val="left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Чтобы создать новый элемент, необходимо зайти в нужную папку и добавить новый элемент. Заполняются поля Краткое и Полное наименование. В случае если номенклатура является услугой, устанавливается галочка в пункте Услуга. Единица измерения проставляется во всех остальных случаях.</w:t>
      </w:r>
    </w:p>
    <w:p w:rsidR="00000000" w:rsidDel="00000000" w:rsidP="00000000" w:rsidRDefault="00000000" w:rsidRPr="00000000" w14:paraId="000000BE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tabs>
          <w:tab w:val="left" w:pos="4785"/>
        </w:tabs>
        <w:spacing w:line="360" w:lineRule="auto"/>
        <w:ind w:left="0" w:firstLine="709"/>
        <w:jc w:val="left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2152650" cy="1647825"/>
            <wp:effectExtent b="0" l="0" r="0" t="0"/>
            <wp:docPr id="24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647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tabs>
          <w:tab w:val="left" w:pos="4785"/>
        </w:tabs>
        <w:spacing w:line="360" w:lineRule="auto"/>
        <w:ind w:left="0" w:firstLine="709"/>
        <w:jc w:val="left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tabs>
          <w:tab w:val="left" w:pos="4785"/>
        </w:tabs>
        <w:spacing w:line="360" w:lineRule="auto"/>
        <w:ind w:left="0" w:firstLine="709"/>
        <w:jc w:val="left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Для номенклатуры устанавливается тип цен номенклатуры. Для того чтобы установить нужный тип цен, в первую очередь нужно заполнить справочник Типы цен номенклатуры.</w:t>
      </w:r>
    </w:p>
    <w:p w:rsidR="00000000" w:rsidDel="00000000" w:rsidP="00000000" w:rsidRDefault="00000000" w:rsidRPr="00000000" w14:paraId="000000C2">
      <w:pPr>
        <w:spacing w:line="360" w:lineRule="auto"/>
        <w:ind w:left="0" w:firstLine="709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Для этого используем ссылку меню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Основная деятельность - Товары (материалы, продукция, услуги) - Тип цен номенклатуры.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1800225" cy="1524000"/>
            <wp:effectExtent b="0" l="0" r="0" t="0"/>
            <wp:docPr id="25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52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В выбранном меню добавляем новый элемент справочника. В нашем случае элемент под названием «Плановая себестоимость». Указывается наименование, валюта цены и метод округления.</w:t>
      </w:r>
    </w:p>
    <w:p w:rsidR="00000000" w:rsidDel="00000000" w:rsidP="00000000" w:rsidRDefault="00000000" w:rsidRPr="00000000" w14:paraId="000000C7">
      <w:pPr>
        <w:spacing w:line="276" w:lineRule="auto"/>
        <w:jc w:val="left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tabs>
          <w:tab w:val="left" w:pos="4785"/>
        </w:tabs>
        <w:spacing w:line="360" w:lineRule="auto"/>
        <w:ind w:left="0" w:firstLine="709"/>
        <w:jc w:val="left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2257425" cy="1019175"/>
            <wp:effectExtent b="0" l="0" r="0" t="0"/>
            <wp:docPr id="26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019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tabs>
          <w:tab w:val="left" w:pos="4785"/>
        </w:tabs>
        <w:spacing w:line="360" w:lineRule="auto"/>
        <w:ind w:left="0" w:firstLine="709"/>
        <w:jc w:val="left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tabs>
          <w:tab w:val="left" w:pos="4785"/>
        </w:tabs>
        <w:spacing w:line="360" w:lineRule="auto"/>
        <w:ind w:left="0" w:firstLine="709"/>
        <w:jc w:val="left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После того как справочник заполнен заполняем документ Установка цен номенклатур.</w:t>
      </w:r>
    </w:p>
    <w:p w:rsidR="00000000" w:rsidDel="00000000" w:rsidP="00000000" w:rsidRDefault="00000000" w:rsidRPr="00000000" w14:paraId="000000CB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Для этого проходим по ссылке меню Основная деятельность - Товары (материалы, продукция, услуги) - Установка цен номенклатуры.</w:t>
      </w:r>
    </w:p>
    <w:p w:rsidR="00000000" w:rsidDel="00000000" w:rsidP="00000000" w:rsidRDefault="00000000" w:rsidRPr="00000000" w14:paraId="000000CC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1771650" cy="1552575"/>
            <wp:effectExtent b="0" l="0" r="0" t="0"/>
            <wp:docPr id="27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552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В открывшемся документе устанавливаются цены на номенклатуру. Заполняются все поля документа:</w:t>
      </w:r>
    </w:p>
    <w:p w:rsidR="00000000" w:rsidDel="00000000" w:rsidP="00000000" w:rsidRDefault="00000000" w:rsidRPr="00000000" w14:paraId="000000D0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дата;</w:t>
      </w:r>
    </w:p>
    <w:p w:rsidR="00000000" w:rsidDel="00000000" w:rsidP="00000000" w:rsidRDefault="00000000" w:rsidRPr="00000000" w14:paraId="000000D1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тип цен;</w:t>
      </w:r>
    </w:p>
    <w:p w:rsidR="00000000" w:rsidDel="00000000" w:rsidP="00000000" w:rsidRDefault="00000000" w:rsidRPr="00000000" w14:paraId="000000D2">
      <w:pPr>
        <w:tabs>
          <w:tab w:val="left" w:pos="4785"/>
        </w:tabs>
        <w:spacing w:line="360" w:lineRule="auto"/>
        <w:ind w:left="0" w:firstLine="709"/>
        <w:jc w:val="left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- номенклатура с соответствующей ценой. </w:t>
      </w:r>
    </w:p>
    <w:p w:rsidR="00000000" w:rsidDel="00000000" w:rsidP="00000000" w:rsidRDefault="00000000" w:rsidRPr="00000000" w14:paraId="000000D3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2181225" cy="1562100"/>
            <wp:effectExtent b="0" l="0" r="0" t="0"/>
            <wp:docPr id="28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562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spacing w:line="276" w:lineRule="auto"/>
        <w:jc w:val="left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1.8 Заполнение справочника Статьи затрат</w:t>
      </w:r>
    </w:p>
    <w:p w:rsidR="00000000" w:rsidDel="00000000" w:rsidP="00000000" w:rsidRDefault="00000000" w:rsidRPr="00000000" w14:paraId="000000D7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Для заполнения справочника Статьи затрат заходим в меню Операции - Справочники - Статьи затрат. В открывшемся окне уже будет определенное количество элементов. Для удобства бухгалтерского и налогового учета добавляем необходимые нам элементы.</w:t>
      </w:r>
    </w:p>
    <w:p w:rsidR="00000000" w:rsidDel="00000000" w:rsidP="00000000" w:rsidRDefault="00000000" w:rsidRPr="00000000" w14:paraId="000000D9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2489200" cy="1543050"/>
            <wp:effectExtent b="0" l="0" r="0" t="0"/>
            <wp:docPr id="29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1543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Основными статьями затрат, как правило, являются такие как:</w:t>
      </w:r>
    </w:p>
    <w:p w:rsidR="00000000" w:rsidDel="00000000" w:rsidP="00000000" w:rsidRDefault="00000000" w:rsidRPr="00000000" w14:paraId="000000DD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Амортизация основных средств;</w:t>
      </w:r>
    </w:p>
    <w:p w:rsidR="00000000" w:rsidDel="00000000" w:rsidP="00000000" w:rsidRDefault="00000000" w:rsidRPr="00000000" w14:paraId="000000DE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Затраты на заработную плату;</w:t>
      </w:r>
    </w:p>
    <w:p w:rsidR="00000000" w:rsidDel="00000000" w:rsidP="00000000" w:rsidRDefault="00000000" w:rsidRPr="00000000" w14:paraId="000000DF">
      <w:pPr>
        <w:tabs>
          <w:tab w:val="left" w:pos="3744"/>
        </w:tabs>
        <w:spacing w:line="360" w:lineRule="auto"/>
        <w:ind w:left="0" w:firstLine="709"/>
        <w:jc w:val="left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- Материальные затраты.</w:t>
        <w:tab/>
      </w:r>
    </w:p>
    <w:p w:rsidR="00000000" w:rsidDel="00000000" w:rsidP="00000000" w:rsidRDefault="00000000" w:rsidRPr="00000000" w14:paraId="000000E0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3562350" cy="1609725"/>
            <wp:effectExtent b="0" l="0" r="0" t="0"/>
            <wp:docPr id="10" name="image48.png"/>
            <a:graphic>
              <a:graphicData uri="http://schemas.openxmlformats.org/drawingml/2006/picture">
                <pic:pic>
                  <pic:nvPicPr>
                    <pic:cNvPr id="0" name="image48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1609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.9 Формирование уставного капитала. </w:t>
      </w:r>
    </w:p>
    <w:p w:rsidR="00000000" w:rsidDel="00000000" w:rsidP="00000000" w:rsidRDefault="00000000" w:rsidRPr="00000000" w14:paraId="000000E4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spacing w:line="360" w:lineRule="auto"/>
        <w:ind w:left="0" w:firstLine="709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Формирование уставного капитала организации в программе 1С:Предприятие осуществляется путем ввода операции вручную. Для этого проходим по ссылке меню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Проводки - Операции (бухгалтерский и налоговый учет) 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и в открывшемся документе формируем проводки.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2181225" cy="1590675"/>
            <wp:effectExtent b="0" l="0" r="0" t="0"/>
            <wp:docPr id="1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590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Согласно плану счетов уставный капитал отражается на счете 75.01. Поэтому проводки будут следующими:</w:t>
      </w:r>
    </w:p>
    <w:p w:rsidR="00000000" w:rsidDel="00000000" w:rsidP="00000000" w:rsidRDefault="00000000" w:rsidRPr="00000000" w14:paraId="000000EA">
      <w:pPr>
        <w:tabs>
          <w:tab w:val="left" w:pos="5106"/>
        </w:tabs>
        <w:spacing w:line="360" w:lineRule="auto"/>
        <w:ind w:left="0" w:firstLine="709"/>
        <w:jc w:val="left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spacing w:line="276" w:lineRule="auto"/>
        <w:jc w:val="left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EC">
      <w:pPr>
        <w:spacing w:line="276" w:lineRule="auto"/>
        <w:jc w:val="left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Глава 2. Формирование отчетов в программе 1С:Предприятие</w:t>
      </w:r>
    </w:p>
    <w:p w:rsidR="00000000" w:rsidDel="00000000" w:rsidP="00000000" w:rsidRDefault="00000000" w:rsidRPr="00000000" w14:paraId="000000EE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.1 Оборотно-сальдовая ведомость по счету</w:t>
      </w:r>
    </w:p>
    <w:p w:rsidR="00000000" w:rsidDel="00000000" w:rsidP="00000000" w:rsidRDefault="00000000" w:rsidRPr="00000000" w14:paraId="000000F0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spacing w:line="360" w:lineRule="auto"/>
        <w:ind w:left="0" w:firstLine="709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Для проверки правильности отражения бухгалтерского учета формируем отчет. Удобно просматривать информацию с помощью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Оборотно-сальдовой ведомости по счету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. Для ее формирования проходим по ссылке меню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Отчеты - Оборотно-сальдовая ведомость по счету.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1752600" cy="3486150"/>
            <wp:effectExtent b="0" l="0" r="0" t="0"/>
            <wp:docPr id="12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3486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spacing w:line="360" w:lineRule="auto"/>
        <w:ind w:left="0" w:firstLine="709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Для отражения необходимой нам информации необходимо установить период, и счет учета. В нашем случае, счет учета 75.01. После того как произведены все настройки, нажимаем кнопку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Сформировать 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и на экран выводится необходимая информация об оборотах. Отчет показывает начальные и конечные остатки, а также обороты за период для выбранного счета.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tabs>
          <w:tab w:val="left" w:pos="3794"/>
        </w:tabs>
        <w:spacing w:line="360" w:lineRule="auto"/>
        <w:ind w:left="0" w:firstLine="709"/>
        <w:jc w:val="left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spacing w:line="276" w:lineRule="auto"/>
        <w:jc w:val="left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F8">
      <w:pPr>
        <w:spacing w:line="276" w:lineRule="auto"/>
        <w:jc w:val="left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2809875" cy="1895475"/>
            <wp:effectExtent b="0" l="0" r="0" t="0"/>
            <wp:docPr id="1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895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2.2 Карточка счета</w:t>
      </w:r>
    </w:p>
    <w:p w:rsidR="00000000" w:rsidDel="00000000" w:rsidP="00000000" w:rsidRDefault="00000000" w:rsidRPr="00000000" w14:paraId="000000FC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spacing w:line="360" w:lineRule="auto"/>
        <w:ind w:left="0" w:firstLine="709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Для вывода на экран более уточненной информации на поле оборотно-сальдовой ведомости нажимаем дважды и открывается дополнительный отчет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Карточка счета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. Отчет Карточка счета представляет собой стандартный отчет с предельной степенью детализации - до учетной записи, то есть до проводки. Сформированный отчет представляет собой упорядоченную по датам выборку информации о проводках, которые относятся к выбранному периоду времени и в которых был использован выбранный счет.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spacing w:line="276" w:lineRule="auto"/>
        <w:jc w:val="left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2590800" cy="2152650"/>
            <wp:effectExtent b="0" l="0" r="0" t="0"/>
            <wp:docPr id="14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152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spacing w:line="276" w:lineRule="auto"/>
        <w:jc w:val="left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102">
      <w:pPr>
        <w:spacing w:line="276" w:lineRule="auto"/>
        <w:jc w:val="left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Глава 3. Ведение учета в программе 1С:Предприятие</w:t>
      </w:r>
    </w:p>
    <w:p w:rsidR="00000000" w:rsidDel="00000000" w:rsidP="00000000" w:rsidRDefault="00000000" w:rsidRPr="00000000" w14:paraId="00000104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.1 Касса</w:t>
      </w:r>
    </w:p>
    <w:p w:rsidR="00000000" w:rsidDel="00000000" w:rsidP="00000000" w:rsidRDefault="00000000" w:rsidRPr="00000000" w14:paraId="00000106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spacing w:line="360" w:lineRule="auto"/>
        <w:ind w:left="0" w:firstLine="709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Документы по учету наличных денежных средств содержатся в меню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Банк и Касса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. Для регистрации поступления наличных денежных средств в кассу организации предназначен документ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Приходный кассовый ордер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1543050" cy="1895475"/>
            <wp:effectExtent b="0" l="0" r="0" t="0"/>
            <wp:docPr id="15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895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Документом отражаются следующие виды хозяйственных операций:</w:t>
      </w:r>
    </w:p>
    <w:p w:rsidR="00000000" w:rsidDel="00000000" w:rsidP="00000000" w:rsidRDefault="00000000" w:rsidRPr="00000000" w14:paraId="0000010C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оплата от покупателя;</w:t>
      </w:r>
    </w:p>
    <w:p w:rsidR="00000000" w:rsidDel="00000000" w:rsidP="00000000" w:rsidRDefault="00000000" w:rsidRPr="00000000" w14:paraId="0000010D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возврат от подотчетного лица:</w:t>
      </w:r>
    </w:p>
    <w:p w:rsidR="00000000" w:rsidDel="00000000" w:rsidP="00000000" w:rsidRDefault="00000000" w:rsidRPr="00000000" w14:paraId="0000010E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возврат от поставщика;</w:t>
      </w:r>
    </w:p>
    <w:p w:rsidR="00000000" w:rsidDel="00000000" w:rsidP="00000000" w:rsidRDefault="00000000" w:rsidRPr="00000000" w14:paraId="0000010F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получение наличных в банке;</w:t>
      </w:r>
    </w:p>
    <w:p w:rsidR="00000000" w:rsidDel="00000000" w:rsidP="00000000" w:rsidRDefault="00000000" w:rsidRPr="00000000" w14:paraId="00000110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расчеты по кредитам и займам;</w:t>
      </w:r>
    </w:p>
    <w:p w:rsidR="00000000" w:rsidDel="00000000" w:rsidP="00000000" w:rsidRDefault="00000000" w:rsidRPr="00000000" w14:paraId="00000111">
      <w:pPr>
        <w:tabs>
          <w:tab w:val="left" w:pos="3085"/>
        </w:tabs>
        <w:spacing w:line="360" w:lineRule="auto"/>
        <w:ind w:left="0" w:firstLine="709"/>
        <w:jc w:val="left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- прочее поступление.</w:t>
      </w:r>
    </w:p>
    <w:p w:rsidR="00000000" w:rsidDel="00000000" w:rsidP="00000000" w:rsidRDefault="00000000" w:rsidRPr="00000000" w14:paraId="00000112">
      <w:pPr>
        <w:spacing w:line="360" w:lineRule="auto"/>
        <w:ind w:left="0" w:firstLine="709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Документ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Приходный кассовый ордер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 можно распечатать (унифицированная форма КО-1).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spacing w:line="276" w:lineRule="auto"/>
        <w:jc w:val="left"/>
        <w:rPr>
          <w:rFonts w:ascii="Calibri" w:cs="Calibri" w:eastAsia="Calibri" w:hAnsi="Calibri"/>
          <w:b w:val="0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114">
      <w:pPr>
        <w:spacing w:line="276" w:lineRule="auto"/>
        <w:jc w:val="left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3467100" cy="2047875"/>
            <wp:effectExtent b="0" l="0" r="0" t="0"/>
            <wp:docPr id="16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047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spacing w:line="360" w:lineRule="auto"/>
        <w:ind w:left="0" w:firstLine="709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Для регистрации расхода наличных денежных средств из кассы предназначен документ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Расходный кассовый ордер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2036445" cy="2494915"/>
            <wp:effectExtent b="0" l="0" r="0" t="0"/>
            <wp:docPr id="17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36445" cy="24949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Документом отражаются следующие виды хозяйственных операций:</w:t>
      </w:r>
    </w:p>
    <w:p w:rsidR="00000000" w:rsidDel="00000000" w:rsidP="00000000" w:rsidRDefault="00000000" w:rsidRPr="00000000" w14:paraId="0000011C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оплата поставщику;</w:t>
      </w:r>
    </w:p>
    <w:p w:rsidR="00000000" w:rsidDel="00000000" w:rsidP="00000000" w:rsidRDefault="00000000" w:rsidRPr="00000000" w14:paraId="0000011D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возврат денежных средств покупателю;</w:t>
      </w:r>
    </w:p>
    <w:p w:rsidR="00000000" w:rsidDel="00000000" w:rsidP="00000000" w:rsidRDefault="00000000" w:rsidRPr="00000000" w14:paraId="0000011E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выдача денежных средств подотчетному лицу;</w:t>
      </w:r>
    </w:p>
    <w:p w:rsidR="00000000" w:rsidDel="00000000" w:rsidP="00000000" w:rsidRDefault="00000000" w:rsidRPr="00000000" w14:paraId="0000011F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выплата заработной платы;</w:t>
      </w:r>
    </w:p>
    <w:p w:rsidR="00000000" w:rsidDel="00000000" w:rsidP="00000000" w:rsidRDefault="00000000" w:rsidRPr="00000000" w14:paraId="00000120">
      <w:pPr>
        <w:tabs>
          <w:tab w:val="left" w:pos="3085"/>
        </w:tabs>
        <w:spacing w:line="360" w:lineRule="auto"/>
        <w:ind w:left="0" w:firstLine="709"/>
        <w:jc w:val="left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- взнос наличными в банк;</w:t>
      </w:r>
    </w:p>
    <w:p w:rsidR="00000000" w:rsidDel="00000000" w:rsidP="00000000" w:rsidRDefault="00000000" w:rsidRPr="00000000" w14:paraId="00000121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- расчеты по кредитам и займам;</w:t>
      </w:r>
    </w:p>
    <w:p w:rsidR="00000000" w:rsidDel="00000000" w:rsidP="00000000" w:rsidRDefault="00000000" w:rsidRPr="00000000" w14:paraId="00000122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инкассация денежных средств;</w:t>
      </w:r>
    </w:p>
    <w:p w:rsidR="00000000" w:rsidDel="00000000" w:rsidP="00000000" w:rsidRDefault="00000000" w:rsidRPr="00000000" w14:paraId="00000123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выплата депонированной заработной платы;</w:t>
      </w:r>
    </w:p>
    <w:p w:rsidR="00000000" w:rsidDel="00000000" w:rsidP="00000000" w:rsidRDefault="00000000" w:rsidRPr="00000000" w14:paraId="00000124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прочий расход денежных средств.</w:t>
      </w:r>
    </w:p>
    <w:p w:rsidR="00000000" w:rsidDel="00000000" w:rsidP="00000000" w:rsidRDefault="00000000" w:rsidRPr="00000000" w14:paraId="00000125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2581275" cy="1647825"/>
            <wp:effectExtent b="0" l="0" r="0" t="0"/>
            <wp:docPr id="18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647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Документ Расходный кассовый ордер можно распечатать (унифицированная форма КО-2).</w:t>
      </w:r>
    </w:p>
    <w:p w:rsidR="00000000" w:rsidDel="00000000" w:rsidP="00000000" w:rsidRDefault="00000000" w:rsidRPr="00000000" w14:paraId="00000128">
      <w:pPr>
        <w:tabs>
          <w:tab w:val="left" w:pos="6081"/>
        </w:tabs>
        <w:spacing w:line="360" w:lineRule="auto"/>
        <w:ind w:left="0" w:firstLine="709"/>
        <w:jc w:val="left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2457450" cy="2238375"/>
            <wp:effectExtent b="0" l="0" r="0" t="0"/>
            <wp:docPr id="19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238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spacing w:line="276" w:lineRule="auto"/>
        <w:jc w:val="left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3.2 Банк</w:t>
      </w:r>
    </w:p>
    <w:p w:rsidR="00000000" w:rsidDel="00000000" w:rsidP="00000000" w:rsidRDefault="00000000" w:rsidRPr="00000000" w14:paraId="0000012C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Документы по учету безналичных денежных средств содержаться в меню Банк и касса. Документ Платежное поручение исходящее предназначен для формирования печатной формы платежного поручения, а также для подготовки информации к выгрузке данных в банковскую программу. </w:t>
      </w:r>
    </w:p>
    <w:p w:rsidR="00000000" w:rsidDel="00000000" w:rsidP="00000000" w:rsidRDefault="00000000" w:rsidRPr="00000000" w14:paraId="0000012E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1533525" cy="1885950"/>
            <wp:effectExtent b="0" l="0" r="0" t="0"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885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При заполнении табличной части пользователь указывает:</w:t>
      </w:r>
    </w:p>
    <w:p w:rsidR="00000000" w:rsidDel="00000000" w:rsidP="00000000" w:rsidRDefault="00000000" w:rsidRPr="00000000" w14:paraId="00000132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получателя платежа;</w:t>
      </w:r>
    </w:p>
    <w:p w:rsidR="00000000" w:rsidDel="00000000" w:rsidP="00000000" w:rsidRDefault="00000000" w:rsidRPr="00000000" w14:paraId="00000133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сумму платежа;</w:t>
      </w:r>
    </w:p>
    <w:p w:rsidR="00000000" w:rsidDel="00000000" w:rsidP="00000000" w:rsidRDefault="00000000" w:rsidRPr="00000000" w14:paraId="00000134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ставку НДС;</w:t>
      </w:r>
    </w:p>
    <w:p w:rsidR="00000000" w:rsidDel="00000000" w:rsidP="00000000" w:rsidRDefault="00000000" w:rsidRPr="00000000" w14:paraId="00000135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счет получателя;</w:t>
      </w:r>
    </w:p>
    <w:p w:rsidR="00000000" w:rsidDel="00000000" w:rsidP="00000000" w:rsidRDefault="00000000" w:rsidRPr="00000000" w14:paraId="00000136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вид платежа и очередность;</w:t>
      </w:r>
    </w:p>
    <w:p w:rsidR="00000000" w:rsidDel="00000000" w:rsidP="00000000" w:rsidRDefault="00000000" w:rsidRPr="00000000" w14:paraId="00000137">
      <w:pPr>
        <w:tabs>
          <w:tab w:val="left" w:pos="2943"/>
        </w:tabs>
        <w:spacing w:line="360" w:lineRule="auto"/>
        <w:ind w:left="0" w:firstLine="709"/>
        <w:jc w:val="left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- назначение платежа.</w:t>
      </w:r>
    </w:p>
    <w:p w:rsidR="00000000" w:rsidDel="00000000" w:rsidP="00000000" w:rsidRDefault="00000000" w:rsidRPr="00000000" w14:paraId="00000138">
      <w:pPr>
        <w:spacing w:line="360" w:lineRule="auto"/>
        <w:ind w:left="0" w:firstLine="709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Если платежное поручение оформляется на перечисление налога или иного платежа в бюджет, то необходимо установить флажок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Перечисление налога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. Платежное поручение можно распечатать.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spacing w:line="276" w:lineRule="auto"/>
        <w:jc w:val="left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3352800" cy="2019300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019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spacing w:line="360" w:lineRule="auto"/>
        <w:ind w:left="0" w:firstLine="709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Документ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Платежное поручение входящее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 предназначен для отражения данных о поступлении денежных средств от контрагентов. При заполнении табличной части пользователь указывает: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отправителя платежа;</w:t>
      </w:r>
    </w:p>
    <w:p w:rsidR="00000000" w:rsidDel="00000000" w:rsidP="00000000" w:rsidRDefault="00000000" w:rsidRPr="00000000" w14:paraId="0000013E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сумму платежа;</w:t>
      </w:r>
    </w:p>
    <w:p w:rsidR="00000000" w:rsidDel="00000000" w:rsidP="00000000" w:rsidRDefault="00000000" w:rsidRPr="00000000" w14:paraId="0000013F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счет отправителя;</w:t>
      </w:r>
    </w:p>
    <w:p w:rsidR="00000000" w:rsidDel="00000000" w:rsidP="00000000" w:rsidRDefault="00000000" w:rsidRPr="00000000" w14:paraId="00000140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дату и номер входящего платежного поручения;</w:t>
      </w:r>
    </w:p>
    <w:p w:rsidR="00000000" w:rsidDel="00000000" w:rsidP="00000000" w:rsidRDefault="00000000" w:rsidRPr="00000000" w14:paraId="00000141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счет учета;</w:t>
      </w:r>
    </w:p>
    <w:p w:rsidR="00000000" w:rsidDel="00000000" w:rsidP="00000000" w:rsidRDefault="00000000" w:rsidRPr="00000000" w14:paraId="00000142">
      <w:pPr>
        <w:tabs>
          <w:tab w:val="left" w:pos="4479"/>
        </w:tabs>
        <w:spacing w:line="360" w:lineRule="auto"/>
        <w:ind w:left="0" w:firstLine="709"/>
        <w:jc w:val="left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- статью движения денежных средств.</w:t>
      </w:r>
    </w:p>
    <w:p w:rsidR="00000000" w:rsidDel="00000000" w:rsidP="00000000" w:rsidRDefault="00000000" w:rsidRPr="00000000" w14:paraId="00000143">
      <w:pPr>
        <w:tabs>
          <w:tab w:val="left" w:pos="4479"/>
        </w:tabs>
        <w:spacing w:line="360" w:lineRule="auto"/>
        <w:ind w:left="0" w:firstLine="709"/>
        <w:jc w:val="left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tabs>
          <w:tab w:val="left" w:pos="4479"/>
        </w:tabs>
        <w:spacing w:line="360" w:lineRule="auto"/>
        <w:ind w:left="0" w:firstLine="709"/>
        <w:jc w:val="left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2181225" cy="1552575"/>
            <wp:effectExtent b="0" l="0" r="0" t="0"/>
            <wp:docPr id="3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552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spacing w:line="276" w:lineRule="auto"/>
        <w:jc w:val="left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spacing w:line="360" w:lineRule="auto"/>
        <w:ind w:left="0" w:firstLine="709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Документ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Банковские выписки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 предназначен для регистрации операций поступления денежных средств на расчетный счет организации перечисления денежных средств с расчетного счета при получении из банка выписки за определенный период (день).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2457450" cy="1367155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3671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.3 Удаление помеченных объектов</w:t>
      </w:r>
    </w:p>
    <w:p w:rsidR="00000000" w:rsidDel="00000000" w:rsidP="00000000" w:rsidRDefault="00000000" w:rsidRPr="00000000" w14:paraId="0000014B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Чтобы удалить какой либо объект необходимо нужный документ найти в журнале и установить пометку удаления.</w:t>
      </w:r>
    </w:p>
    <w:p w:rsidR="00000000" w:rsidDel="00000000" w:rsidP="00000000" w:rsidRDefault="00000000" w:rsidRPr="00000000" w14:paraId="0000014D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2457450" cy="1828800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82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После того как объект будет помечен на удаление в журнале указанный документ будет отмечен красным крестиком. В этом случае документ уже не формирует проводок, но в журнале присутствует под номером, который был присвоен при вводе документа в 1С:Предприятие.</w:t>
      </w:r>
    </w:p>
    <w:p w:rsidR="00000000" w:rsidDel="00000000" w:rsidP="00000000" w:rsidRDefault="00000000" w:rsidRPr="00000000" w14:paraId="00000151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2533650" cy="1543050"/>
            <wp:effectExtent b="0" l="0" r="0" t="0"/>
            <wp:docPr id="6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543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Для того чтобы очистить журнал от помеченных на удаление документов используем ссылку меню Операции - Удаление помеченных объектов. </w:t>
      </w:r>
    </w:p>
    <w:p w:rsidR="00000000" w:rsidDel="00000000" w:rsidP="00000000" w:rsidRDefault="00000000" w:rsidRPr="00000000" w14:paraId="00000155">
      <w:pPr>
        <w:spacing w:line="360" w:lineRule="auto"/>
        <w:ind w:left="0" w:firstLine="709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На экран выводится окно в верхней части которого содержится список обнаруженных в информационной базе объектов, помеченных на удаление. Любой из объектов можно открыть с помощью кнопки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Открыть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tabs>
          <w:tab w:val="left" w:pos="6062"/>
        </w:tabs>
        <w:spacing w:line="360" w:lineRule="auto"/>
        <w:ind w:left="0" w:firstLine="709"/>
        <w:jc w:val="left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1104900" cy="2124075"/>
            <wp:effectExtent b="0" l="0" r="0" t="0"/>
            <wp:docPr id="7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2124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spacing w:line="276" w:lineRule="auto"/>
        <w:jc w:val="left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С помощью пометок можно указать, какие объекты нужно проверить на возможность удаления.</w:t>
      </w:r>
    </w:p>
    <w:p w:rsidR="00000000" w:rsidDel="00000000" w:rsidP="00000000" w:rsidRDefault="00000000" w:rsidRPr="00000000" w14:paraId="0000015A">
      <w:pPr>
        <w:spacing w:line="360" w:lineRule="auto"/>
        <w:ind w:left="0" w:firstLine="709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Для контроля наличия ссылок на удаляемые объекты необходимо нажать кнопку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Контроль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Программа произведет проверку работы пользователей с данной информационной базой и установит монопольный режим работы. Если с базой работают, то выдается сообщение.</w:t>
      </w:r>
    </w:p>
    <w:p w:rsidR="00000000" w:rsidDel="00000000" w:rsidP="00000000" w:rsidRDefault="00000000" w:rsidRPr="00000000" w14:paraId="0000015C">
      <w:pPr>
        <w:spacing w:line="240" w:lineRule="auto"/>
        <w:ind w:left="0" w:firstLine="709"/>
        <w:jc w:val="left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Программа формирует список ссылок на указанные объекты и выводит другой диалог (в модальном режиме), в котором можно просмотреть список ссылок и произвести удаление &lt;v8help://frntend/form_dbpurifyformmodal&gt;.</w:t>
      </w:r>
    </w:p>
    <w:p w:rsidR="00000000" w:rsidDel="00000000" w:rsidP="00000000" w:rsidRDefault="00000000" w:rsidRPr="00000000" w14:paraId="0000015D">
      <w:pPr>
        <w:spacing w:line="240" w:lineRule="auto"/>
        <w:ind w:left="0" w:firstLine="709"/>
        <w:jc w:val="left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1866900" cy="1704975"/>
            <wp:effectExtent b="0" l="0" r="0" t="0"/>
            <wp:docPr id="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704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 </w:t>
        <w:tab/>
      </w:r>
      <w:r w:rsidDel="00000000" w:rsidR="00000000" w:rsidRPr="00000000">
        <w:rPr/>
        <w:drawing>
          <wp:inline distB="0" distT="0" distL="0" distR="0">
            <wp:extent cx="1933575" cy="1676400"/>
            <wp:effectExtent b="0" l="0" r="0" t="0"/>
            <wp:docPr id="9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67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tabs>
          <w:tab w:val="left" w:pos="1350"/>
        </w:tabs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spacing w:line="276" w:lineRule="auto"/>
        <w:jc w:val="left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161">
      <w:pPr>
        <w:spacing w:line="276" w:lineRule="auto"/>
        <w:jc w:val="left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Заключение</w:t>
      </w:r>
    </w:p>
    <w:p w:rsidR="00000000" w:rsidDel="00000000" w:rsidP="00000000" w:rsidRDefault="00000000" w:rsidRPr="00000000" w14:paraId="00000163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В заключение данной работы хотелось бы отметить, что программа «1С: Бухгалтерия 8.0» - это универсальная, очень удобная, доступная программа массового назначения для автоматизации бухгалтерского и налогового учета, включая подготовку обязательной (регламентированной) отчетности. </w:t>
      </w:r>
    </w:p>
    <w:p w:rsidR="00000000" w:rsidDel="00000000" w:rsidP="00000000" w:rsidRDefault="00000000" w:rsidRPr="00000000" w14:paraId="00000165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В программе «1С: Бухгалтерия 8.0.» реализована возможность ведения учета нескольких организаций в единой информационной базе; за счет введения отдельного плана счетов налогового учета упрощена сопоставимость данных бухгалтерского и налогового учета, что важно для обеспечения требований ПБУ 18/02 "Расчеты по налогу на прибыль". Также в "1С: Бухгалтерия 8.0" реализован опциональный аналитический учет по местам хранения: количественный и количественно-суммовой, существует возможность учета товаров в розничной торговле по продажным ценам, поддерживается учет деятельности индивидуальных предпринимателей, применяющих упрощенную систему налогообложения, расширены возможности настройки типовых операций -- средства группового ввода часто используемых бухгалтерских проводок.</w:t>
      </w:r>
    </w:p>
    <w:p w:rsidR="00000000" w:rsidDel="00000000" w:rsidP="00000000" w:rsidRDefault="00000000" w:rsidRPr="00000000" w14:paraId="00000166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Современный эргономичный интерфейс "1С: Бухгалтерия 8.0" делает доступными сервисные возможности "1С: Предприятие 8.0" даже для небольших организаций. </w:t>
      </w:r>
    </w:p>
    <w:p w:rsidR="00000000" w:rsidDel="00000000" w:rsidP="00000000" w:rsidRDefault="00000000" w:rsidRPr="00000000" w14:paraId="00000167">
      <w:pPr>
        <w:spacing w:line="240" w:lineRule="auto"/>
        <w:ind w:left="0" w:firstLine="709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Система "1С:Предприятие 8.0" состоит из передовой технологической платформы (ядра) &lt;</w:t>
      </w:r>
      <w:hyperlink r:id="rId55">
        <w:r w:rsidDel="00000000" w:rsidR="00000000" w:rsidRPr="00000000">
          <w:rPr>
            <w:rFonts w:ascii="Times New Roman" w:cs="Times New Roman" w:eastAsia="Times New Roman" w:hAnsi="Times New Roman"/>
            <w:b w:val="0"/>
            <w:color w:val="0000ff"/>
            <w:sz w:val="28"/>
            <w:szCs w:val="28"/>
            <w:u w:val="single"/>
            <w:rtl w:val="0"/>
          </w:rPr>
          <w:t xml:space="preserve">http://v8.1c.ru/overview/Platform.htm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&gt; и разработанных на ее основе прикладных решений ("конфигураций") &lt;</w:t>
      </w:r>
      <w:hyperlink r:id="rId56">
        <w:r w:rsidDel="00000000" w:rsidR="00000000" w:rsidRPr="00000000">
          <w:rPr>
            <w:rFonts w:ascii="Times New Roman" w:cs="Times New Roman" w:eastAsia="Times New Roman" w:hAnsi="Times New Roman"/>
            <w:b w:val="0"/>
            <w:color w:val="0000ff"/>
            <w:sz w:val="28"/>
            <w:szCs w:val="28"/>
            <w:u w:val="single"/>
            <w:rtl w:val="0"/>
          </w:rPr>
          <w:t xml:space="preserve">http://v8.1c.ru/solutions/applied_solutions.htm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&gt;. Такая архитектура системы принесла ей высокую популярность, поскольку обеспечивает открытость прикладных решений, высокую функциональность и гибкость, масштабируемость от однопользовательских до клиент-серверных и территориально распределенных решений, от самых малых до весьма крупных организаций и бизнес-структур.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spacing w:line="240" w:lineRule="auto"/>
        <w:ind w:left="0" w:firstLine="709"/>
        <w:jc w:val="left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Система "1С:Предприятие 8.0" широко распространена в России, Украине, Казахстане Белоруссии и успешно применятся организациями многих стран мира.</w:t>
      </w:r>
    </w:p>
    <w:p w:rsidR="00000000" w:rsidDel="00000000" w:rsidP="00000000" w:rsidRDefault="00000000" w:rsidRPr="00000000" w14:paraId="00000169">
      <w:pPr>
        <w:spacing w:line="240" w:lineRule="auto"/>
        <w:ind w:left="0" w:firstLine="709"/>
        <w:jc w:val="left"/>
        <w:rPr>
          <w:rFonts w:ascii="Calibri" w:cs="Calibri" w:eastAsia="Calibri" w:hAnsi="Calibri"/>
          <w:b w:val="0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В настоящее время умение пользоваться данной системой является приоритетом на рынке труда по направлению «Бухгалтерия». При наборе персонала в бухгалтерские службы организаций существует ряд требований, основным из которых является знание и практическое применения программы «1С:предприяти 8.0». Практическое ознакомление помогло мне узнать о различных возможностях программы «1С: Бухгалтерия предприятия 8.0», полученные знания можно применять в работе. </w:t>
      </w:r>
      <w:r w:rsidDel="00000000" w:rsidR="00000000" w:rsidRPr="00000000">
        <w:rPr>
          <w:rtl w:val="0"/>
        </w:rPr>
      </w:r>
    </w:p>
    <w:sectPr>
      <w:footerReference r:id="rId57" w:type="default"/>
      <w:pgSz w:h="16838" w:w="11906"/>
      <w:pgMar w:bottom="1134" w:top="1134" w:left="1134" w:right="1134" w:header="0" w:footer="0"/>
      <w:pgNumType w:start="3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6A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17.png"/><Relationship Id="rId42" Type="http://schemas.openxmlformats.org/officeDocument/2006/relationships/image" Target="media/image13.png"/><Relationship Id="rId41" Type="http://schemas.openxmlformats.org/officeDocument/2006/relationships/image" Target="media/image11.png"/><Relationship Id="rId44" Type="http://schemas.openxmlformats.org/officeDocument/2006/relationships/image" Target="media/image14.png"/><Relationship Id="rId43" Type="http://schemas.openxmlformats.org/officeDocument/2006/relationships/image" Target="media/image8.png"/><Relationship Id="rId46" Type="http://schemas.openxmlformats.org/officeDocument/2006/relationships/image" Target="media/image5.png"/><Relationship Id="rId45" Type="http://schemas.openxmlformats.org/officeDocument/2006/relationships/image" Target="media/image1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7.png"/><Relationship Id="rId48" Type="http://schemas.openxmlformats.org/officeDocument/2006/relationships/image" Target="media/image12.png"/><Relationship Id="rId47" Type="http://schemas.openxmlformats.org/officeDocument/2006/relationships/image" Target="media/image4.png"/><Relationship Id="rId4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25.png"/><Relationship Id="rId7" Type="http://schemas.openxmlformats.org/officeDocument/2006/relationships/image" Target="media/image47.png"/><Relationship Id="rId8" Type="http://schemas.openxmlformats.org/officeDocument/2006/relationships/image" Target="media/image33.png"/><Relationship Id="rId31" Type="http://schemas.openxmlformats.org/officeDocument/2006/relationships/image" Target="media/image24.png"/><Relationship Id="rId30" Type="http://schemas.openxmlformats.org/officeDocument/2006/relationships/image" Target="media/image28.png"/><Relationship Id="rId33" Type="http://schemas.openxmlformats.org/officeDocument/2006/relationships/image" Target="media/image23.png"/><Relationship Id="rId32" Type="http://schemas.openxmlformats.org/officeDocument/2006/relationships/image" Target="media/image30.png"/><Relationship Id="rId35" Type="http://schemas.openxmlformats.org/officeDocument/2006/relationships/image" Target="media/image27.png"/><Relationship Id="rId34" Type="http://schemas.openxmlformats.org/officeDocument/2006/relationships/image" Target="media/image26.png"/><Relationship Id="rId37" Type="http://schemas.openxmlformats.org/officeDocument/2006/relationships/image" Target="media/image3.png"/><Relationship Id="rId36" Type="http://schemas.openxmlformats.org/officeDocument/2006/relationships/image" Target="media/image48.png"/><Relationship Id="rId39" Type="http://schemas.openxmlformats.org/officeDocument/2006/relationships/image" Target="media/image7.png"/><Relationship Id="rId38" Type="http://schemas.openxmlformats.org/officeDocument/2006/relationships/image" Target="media/image19.png"/><Relationship Id="rId20" Type="http://schemas.openxmlformats.org/officeDocument/2006/relationships/image" Target="media/image46.png"/><Relationship Id="rId22" Type="http://schemas.openxmlformats.org/officeDocument/2006/relationships/image" Target="media/image41.png"/><Relationship Id="rId21" Type="http://schemas.openxmlformats.org/officeDocument/2006/relationships/image" Target="media/image44.png"/><Relationship Id="rId24" Type="http://schemas.openxmlformats.org/officeDocument/2006/relationships/image" Target="media/image45.png"/><Relationship Id="rId23" Type="http://schemas.openxmlformats.org/officeDocument/2006/relationships/image" Target="media/image42.png"/><Relationship Id="rId26" Type="http://schemas.openxmlformats.org/officeDocument/2006/relationships/image" Target="media/image9.png"/><Relationship Id="rId25" Type="http://schemas.openxmlformats.org/officeDocument/2006/relationships/image" Target="media/image40.png"/><Relationship Id="rId28" Type="http://schemas.openxmlformats.org/officeDocument/2006/relationships/image" Target="media/image20.png"/><Relationship Id="rId27" Type="http://schemas.openxmlformats.org/officeDocument/2006/relationships/image" Target="media/image21.png"/><Relationship Id="rId29" Type="http://schemas.openxmlformats.org/officeDocument/2006/relationships/image" Target="media/image22.png"/><Relationship Id="rId51" Type="http://schemas.openxmlformats.org/officeDocument/2006/relationships/image" Target="media/image18.png"/><Relationship Id="rId50" Type="http://schemas.openxmlformats.org/officeDocument/2006/relationships/image" Target="media/image2.png"/><Relationship Id="rId53" Type="http://schemas.openxmlformats.org/officeDocument/2006/relationships/image" Target="media/image6.png"/><Relationship Id="rId52" Type="http://schemas.openxmlformats.org/officeDocument/2006/relationships/image" Target="media/image16.png"/><Relationship Id="rId11" Type="http://schemas.openxmlformats.org/officeDocument/2006/relationships/image" Target="media/image31.png"/><Relationship Id="rId55" Type="http://schemas.openxmlformats.org/officeDocument/2006/relationships/hyperlink" Target="http://v8.1c.ru/overview/Platform.htm" TargetMode="External"/><Relationship Id="rId10" Type="http://schemas.openxmlformats.org/officeDocument/2006/relationships/image" Target="media/image38.png"/><Relationship Id="rId54" Type="http://schemas.openxmlformats.org/officeDocument/2006/relationships/image" Target="media/image10.png"/><Relationship Id="rId13" Type="http://schemas.openxmlformats.org/officeDocument/2006/relationships/image" Target="media/image29.png"/><Relationship Id="rId57" Type="http://schemas.openxmlformats.org/officeDocument/2006/relationships/footer" Target="footer1.xml"/><Relationship Id="rId12" Type="http://schemas.openxmlformats.org/officeDocument/2006/relationships/image" Target="media/image32.png"/><Relationship Id="rId56" Type="http://schemas.openxmlformats.org/officeDocument/2006/relationships/hyperlink" Target="http://v8.1c.ru/solutions/applied_solutions.htm" TargetMode="External"/><Relationship Id="rId15" Type="http://schemas.openxmlformats.org/officeDocument/2006/relationships/image" Target="media/image39.png"/><Relationship Id="rId14" Type="http://schemas.openxmlformats.org/officeDocument/2006/relationships/image" Target="media/image34.png"/><Relationship Id="rId17" Type="http://schemas.openxmlformats.org/officeDocument/2006/relationships/image" Target="media/image36.png"/><Relationship Id="rId16" Type="http://schemas.openxmlformats.org/officeDocument/2006/relationships/image" Target="media/image35.png"/><Relationship Id="rId19" Type="http://schemas.openxmlformats.org/officeDocument/2006/relationships/image" Target="media/image43.png"/><Relationship Id="rId18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