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направлений государственного регулирования и управления Министерства транспорта и коммуникаций Республики Беларусь является автомобильный транспорт и дорожное хозяйство, в том числе деятельность юридических лиц и индивидуальных предпринимателей, выполняющих:</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перевозочную и транспортно - экспедиционную деятельность;</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работы (услуги), связанные с обслуживанием пассажиров, грузов, ТС, ремонтом ТС и технологического оборудования;</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обследование, проектирование, строительство, реконструкцию, ремонт, содержание республиканских автомобильных дорого;</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информационное обеспечение.</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Транспортный комплекс, является важнейшим звеном экономико-социальной инфраструктуры республики.</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Выгодное геополитическое положение Республики Беларусь способствует развитию грузовых перевозок как в международном, так и во внутриреспубликанском сообщении, а также дальнейшему развитию пограничного сервиса.</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Организациями автомобильного транспорта, подведомственными Министерству транспорта и коммуникации Республики Беларусь, обеспечиваются перевозки пассажиров автобусами по регулярным маршрутам в городском, пригородном, междугородном и международном сообщениях.</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Перевозка пассажиров автобусами осуществляется по 5826 регулярным маршрутам.</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8880"/>
        </w:tabs>
        <w:spacing w:line="360" w:lineRule="auto"/>
        <w:ind w:firstLine="709"/>
        <w:jc w:val="both"/>
        <w:rPr>
          <w:smallCaps w:val="0"/>
          <w:sz w:val="28"/>
          <w:szCs w:val="28"/>
        </w:rPr>
      </w:pPr>
      <w:r w:rsidDel="00000000" w:rsidR="00000000" w:rsidRPr="00000000">
        <w:rPr>
          <w:smallCaps w:val="0"/>
          <w:sz w:val="28"/>
          <w:szCs w:val="28"/>
          <w:rtl w:val="0"/>
        </w:rPr>
        <w:t xml:space="preserve">Цель практики - закрепление теоретических знаний и приобретение практических навыков в работе по специальности. Специалист высшей квалификации должен в совершенстве владеть своей специальностью, иметь широкую научную и практическую подготовку, уметь на практике применять принципы организации труда.</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8880"/>
        </w:tabs>
        <w:spacing w:line="360" w:lineRule="auto"/>
        <w:ind w:firstLine="709"/>
        <w:jc w:val="both"/>
        <w:rPr>
          <w:smallCaps w:val="0"/>
          <w:sz w:val="28"/>
          <w:szCs w:val="28"/>
        </w:rPr>
      </w:pPr>
      <w:r w:rsidDel="00000000" w:rsidR="00000000" w:rsidRPr="00000000">
        <w:rPr>
          <w:smallCaps w:val="0"/>
          <w:sz w:val="28"/>
          <w:szCs w:val="28"/>
          <w:rtl w:val="0"/>
        </w:rPr>
        <w:t xml:space="preserve">Основные задачи практики:</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8880"/>
        </w:tabs>
        <w:spacing w:line="360" w:lineRule="auto"/>
        <w:ind w:firstLine="709"/>
        <w:jc w:val="both"/>
        <w:rPr>
          <w:smallCaps w:val="0"/>
          <w:sz w:val="28"/>
          <w:szCs w:val="28"/>
        </w:rPr>
      </w:pPr>
      <w:r w:rsidDel="00000000" w:rsidR="00000000" w:rsidRPr="00000000">
        <w:rPr>
          <w:smallCaps w:val="0"/>
          <w:sz w:val="28"/>
          <w:szCs w:val="28"/>
          <w:rtl w:val="0"/>
        </w:rPr>
        <w:t xml:space="preserve">изучение экономических основ деятельности организации;</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8880"/>
        </w:tabs>
        <w:spacing w:line="360" w:lineRule="auto"/>
        <w:ind w:firstLine="709"/>
        <w:jc w:val="both"/>
        <w:rPr>
          <w:smallCaps w:val="0"/>
          <w:sz w:val="28"/>
          <w:szCs w:val="28"/>
        </w:rPr>
      </w:pPr>
      <w:r w:rsidDel="00000000" w:rsidR="00000000" w:rsidRPr="00000000">
        <w:rPr>
          <w:smallCaps w:val="0"/>
          <w:sz w:val="28"/>
          <w:szCs w:val="28"/>
          <w:rtl w:val="0"/>
        </w:rPr>
        <w:t xml:space="preserve">изучение учредительных документов организации, основных направлений практической деятельности;</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8880"/>
        </w:tabs>
        <w:spacing w:line="360" w:lineRule="auto"/>
        <w:ind w:firstLine="709"/>
        <w:jc w:val="both"/>
        <w:rPr>
          <w:smallCaps w:val="0"/>
          <w:sz w:val="28"/>
          <w:szCs w:val="28"/>
        </w:rPr>
      </w:pPr>
      <w:r w:rsidDel="00000000" w:rsidR="00000000" w:rsidRPr="00000000">
        <w:rPr>
          <w:smallCaps w:val="0"/>
          <w:sz w:val="28"/>
          <w:szCs w:val="28"/>
          <w:rtl w:val="0"/>
        </w:rPr>
        <w:t xml:space="preserve">изучение экономического, производственного и финансового потенциала организации;</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8880"/>
        </w:tabs>
        <w:spacing w:line="360" w:lineRule="auto"/>
        <w:ind w:firstLine="709"/>
        <w:jc w:val="both"/>
        <w:rPr>
          <w:smallCaps w:val="0"/>
          <w:sz w:val="28"/>
          <w:szCs w:val="28"/>
        </w:rPr>
      </w:pPr>
      <w:r w:rsidDel="00000000" w:rsidR="00000000" w:rsidRPr="00000000">
        <w:rPr>
          <w:smallCaps w:val="0"/>
          <w:sz w:val="28"/>
          <w:szCs w:val="28"/>
          <w:rtl w:val="0"/>
        </w:rPr>
        <w:t xml:space="preserve">изучение организационно-управленческой структуры предприятия;</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left" w:pos="8880"/>
        </w:tabs>
        <w:spacing w:line="360" w:lineRule="auto"/>
        <w:ind w:firstLine="709"/>
        <w:jc w:val="both"/>
        <w:rPr>
          <w:smallCaps w:val="0"/>
          <w:sz w:val="28"/>
          <w:szCs w:val="28"/>
        </w:rPr>
      </w:pPr>
      <w:r w:rsidDel="00000000" w:rsidR="00000000" w:rsidRPr="00000000">
        <w:rPr>
          <w:smallCaps w:val="0"/>
          <w:sz w:val="28"/>
          <w:szCs w:val="28"/>
          <w:rtl w:val="0"/>
        </w:rPr>
        <w:t xml:space="preserve">изучение деятельности функциональных подразделений организации;</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8880"/>
        </w:tabs>
        <w:spacing w:line="360" w:lineRule="auto"/>
        <w:ind w:firstLine="709"/>
        <w:jc w:val="both"/>
        <w:rPr>
          <w:smallCaps w:val="0"/>
          <w:sz w:val="28"/>
          <w:szCs w:val="28"/>
        </w:rPr>
      </w:pPr>
      <w:r w:rsidDel="00000000" w:rsidR="00000000" w:rsidRPr="00000000">
        <w:rPr>
          <w:smallCaps w:val="0"/>
          <w:sz w:val="28"/>
          <w:szCs w:val="28"/>
          <w:rtl w:val="0"/>
        </w:rPr>
        <w:t xml:space="preserve">проведение анализа технических, трудовых, материальных и финансовых ресурсов предприятия;</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проведение системного анализа накопленной в ходе практики информации (документация, отчеты, планы, личные наблюдения, беседы с сотрудниками и руководителем практики от предприятия).</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13" w:right="170" w:firstLine="397"/>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Общие сведения об организации</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Характеристика организации</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ПУП «Миноблсантранс» является смешанной автотранспортной организацией, по принадлежности - ведомственная, по организации производства-комплексная. Предприятие «Миноблсантранс» было создано приказом №5 отдела здравоохранения Миноблисполкома от 27.01.1992 г. Собственником имущества предприятия и его учредителем является Минский Областной исполнительный комитет. Предприятие является самостоятельным юридическим лицом и действует в соответствии с Законом о предприятии в Республике Беларусь и другими законодательными актами Республики Беларусь. Предприятие находится на полном хозяйственном расчете, обеспечивает самоокупаемость, финансирование затрат по совершенствованию производства, имеет самостоятельный баланс, уставный фонд, наделено собственными оборотными средствами. Уставный фонд предприятия сформирован в соответствии с действующим законодательством. Источником формирования основных и оборотных средств предприятия являются доходы, полученные от реализации работ, услуг, а также от других видовхозяйственной деятельности. ПУП «Миноблсантранс» оснащен 3 подъемниками грузоподъемностью до 4 тонн, 2 смотровые канавы и всем необходимым специальным инструментом. По состоянию на 01.10.2013 г. предприятие обслуживает десять лечебных учреждений на предмет обеспечения санитарным и хозяйственным транспортом, в том числе:</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Минскую областную клиническую больницу,</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Минскую областную детскую клиническую больницу,</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Минский областной роддом,</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Минскую областную базу медснабжения,</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Минский областной тубдиспансер,</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Минский областной кожно-венерологический диспансер,</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Минское областное патолого-анатомическое бюро,</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Антидопинговую лабораторию,</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Минскую областную стоматологическую поликлинику,</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Минскую центральную районную больницу.</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санитарным и технологическим транспортом осуществляется на основании заключенных договоров. При наличии свободных ТС, предприятие обслуживает и прочие организации по заявкам.</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видами деятельности предприятия, предусмотренными уставом и полученными лицензиями, являются:</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деятельность в области автомобильного транспорта (оказание транспортных услуг);</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техническое обслуживание и ремонт автомобилей;</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состоянию на 01.10.2013 года на балансе предприятия имеется 77 единицы подвижного состава. Численность работающих на 01.10.2013 года составляет 133, в том числе: руководители - 15; специалисты - 19; рабочие, водители - 99.</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ПУП «Миноблсантранс» представлена на рисунке 1.1. Основные отделы автотранспортной организации представлены в виде: Директора выполняющего контроль за работой предприятия.</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Директора:</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и планирование работы предприятия;</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Решение всех вопросов, не составляющих исключительную компетенцию комитета по здравоохранению Мингорисполкома;</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Издает приказы и дает указания.</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Заместитель директора осуществляющий контроль над отделами и предоставляющий отчетность высшему руководству.</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Заместителя директора:</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Контролировать особенности и проведение деятельности предприятия;</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Обеспечивать полезность деятельности всех отделов и сотрудников предприятия;</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Ускорение принесения прибыли от методов, которые были введены в недавнее время;</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Участие в обучении и подбор персонала.</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инженер осуществляет контроль над условиями труда и соблюдением безопасности.</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Главного инженера:</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над расходом ресурсов;</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документов и чертежей;</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Организовывает разработку планов;</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мероприятий по эффективности увеличения труда;</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должного уровня подготовки предприятия;</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Выяснение направления развития предприятия.</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 материально-технического снабжения функционирует в рамках коммерческой деятельности.</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Отдела материально-технического снабжения:</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с последующим поддержанием оптимального уровня запасов ресурсов;</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точной, оперативной, комплексной и достаточно надежной поставки ресурсов.</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Авторемонтная мастерская выполняет ремонтируемые функции.</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Авторемонтной мастерской:</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Выполнение сварочных, слесарных, работ, определение технического состояния;</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Выполнение очистных работ, диагностирование агрегатов, устранение повреждений.</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Начальник ОБД выполняет контроль за выполнением водителями ПДД.</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Начальника ОБД:</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Организация безопасного движения автотранспорта организации;</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Организовывает на предприятии профилактическую работу по ПДД.</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механик выполняет функцию разработки планов, согласовывать планы, организация работы.</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Главного механика:</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Обеспечивать работу оборудования;</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безопасных условий труда.</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 кадров способствует достижению целей предприятия.</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Отдела кадров:</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Определять количество рабочих;</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планов повышения квалификации сотрудников. Профсоюз выполняет функцию защиты прав и интересов рабочих на предприятии.</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Профсоюза:</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Добиваться хороших условий труда;</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Добиваться достойной заработной платы.</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Начальник колонны отвечает за выпуск на линию технически исправных ТС.</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Начальника колонны:</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Обеспечивать плановый выпуск;</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Своевременное выполнение заданий.</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Диспетчер осуществляет анализ рабочего процесса.</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Диспетчера:</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складских, разгрузочных, погрузочных операций;</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Своевременное планирование и грамотное распределение работ.</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Механик организует ремонтную службу предприятия.</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Механика:</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Обеспечивать оборудованию правильную эксплуатацию;</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Обеспечить своевременный и качественный ремонт.</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Экономист работает с финансами, четко планирует и рассчитывает их.</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Экономиста:</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Осуществление экономической деятельности;</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Обеспечивает максимально эффективной работой предприятие.</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бухгалтер выполняет функцию надзора за правильностью оформления всей текущей бухгалтерской документации.</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Главного бухгалтера:</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Осуществляет постановку и ведение бухгалтерского учета в организации;</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Осуществляет контроль за соблюдением порядка обработки бухгалтерской информации.</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 автоматизированного системного управления предназначен для управления различными процессами в рамках предприятия.</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Отдела автоматизированного системного управления:</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Обработка и обмен информации;</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Анализирует все возможные методы управления деятельностью предприятия.</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1.1 - Организационная структура ПУП ,,Миноблсантранс”</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территории «Миноблсантранс» имеется общий производственный комплекс. В комплексе имеются: участок мойки, участок покраски, ТО и ТР, склад материалов и склад инструментальный. На территории имеется стоянка для автомобилей, на стоянке имеются места для 80 автомобилей.</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«Миноблсантранс» оснащен всем необходимыми специальными инструментами для проведения ремонта. Все инструменты хранятся на территории организации на специальном складе.</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проведения ремонта используются детали и материалы соответствующие стандартам качества. Все детали и материалы хранятся на складе материалов, где проводиться учет и проверка состояния всей продукции.</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Списочный состав парка и режим его эксплуатации</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ПУП «Миноблсантранс» оказывает услуги по техническому обслуживанию и ремонту автомобильного транспорта:</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Š</w:t>
      </w:r>
      <w:r w:rsidDel="00000000" w:rsidR="00000000" w:rsidRPr="00000000">
        <w:rPr>
          <w:smallCaps w:val="0"/>
          <w:sz w:val="28"/>
          <w:szCs w:val="28"/>
          <w:rtl w:val="0"/>
        </w:rPr>
        <w:t xml:space="preserve">koda Superb, Opel Zafira, Volkswagen Passat, Geely Emgrand X7, Volvo Nilsson, Great Wall Deer, Great Wall Peri - количество дней работы ТС на линии в году - 252, время работы ТС на линии - 8 часов, среднесуточный пробег - 120 км, пробег с начала эксплуатации - 230 000 км.</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Fiat Ducato, Peugeot Boxer, Ford Transit, Citroen Jumper, Renault Master, Mercedes-Benz Sprinter, ГАЗ-Бизнес, ГАЗ-Next, ГАЗ-Соболь, УАЗ-452-количество дней работы ТС на линии в году - 192, время работы ТС на линии-12 часов, среднесуточный пробег-200 км, пробег с начала эксплуатации-370 000 км.</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Природно-климатические условия района: преобладает умеренно-континентальный тип климата, относительно мягкая и влажная зима, теплое и влажное лето.</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113" w:right="170" w:firstLine="397"/>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Техническая служба организации</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и функции технической службы</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технической службы ПУП ''Миноблсантранс'' на рисунке 2.1.</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2.1 - Структура управления технической службой ПУП ''Миноблсантранс''</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Техническая служба ПУП ''Миноблсантранс'' состоит из:</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 главного механика (ОГМ) - обеспечивает исправное состояние сооружений, зданий, производственного оборудования и инструментальной оснастки.</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задачи ОГМ:</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Поддерживание оборудования предприятия в исправном рабочем состоянии, своевременным ремонтом и техническим обслуживанием;</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Совершенствование работы главного механика;</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Экономичность ремонтного обслуживания оборудования.</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 снабжения (ОС) - производит материально-техническое обеспечение и организацию складского хозяйства.</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задачи ОС:</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Отслеживание наличия всех необходимых предприятию материалов и приспособлений;</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Грамотное ведение всей финансовой отчетности по закупочным процессам;</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Своевременная закупка всего необходимого;</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Налаживание деловых связей с более профессиональными поставщиками запчастей и автомобильных эксплуатационных материалов.</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Бригады проводят ТО-1, ТО-2, ТР, выполняют работы по замене неисправных агрегатов на исправные, а также крепежно-регулировочные работы.</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инженер руководствует работой производственных участков, обеспечивает подготовку производства, разработку и внедрение новой техники, составление мероприятий по охране труда.</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производства ТО и ТР транспортных средств</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Производственный процесс ТО и ТР транспортных средств</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Схема производственного процесса ТО и ТР ТС в организации ПУП ''Миноблсантранс'' представлен на рисунке 2.2.</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2.2 - Схема производственного процесса То и ТР ТС организации ПУП ''Миноблсантранс''</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выездом на линию водителям в диспетчерской выдают путевой лист, который они предъявляют механику КТП. Механик КТП проверяет комплектность и внешнее состояние ТС.</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ТС, возвратившиеся с линии после смены проходят контроль на КТП, где снова проверяется комплектность и внешнее состояние ТС, фиксируются отказы или неисправности.</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прохождения КТП ТС поступают в зону ежедневного обслуживания, где производится уборка кузова, кабины или платформы, мойка и сушка.</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Затем ТС направляются на линию, в зоны хранения, технического обслуживания и ремонта или в зоны ожидания технического обслуживания или ремонта.</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поступлением ТС в зону технического обслуживания или текущего ремонта они проходят диагностику.</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как пропускная способность зоны ЕО рассчитывается на одну или две рабочие смены, то большая часть ТС из контрольно-технического пункта (КТП) направляется в зону хранения , откуда в порядке очереди они поступают в зону ЕО и далее в соответствии с графиком на посты обслуживания или в зону хранения.</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преждевременного возврата ТС с линии по техническим причинам дежурный механик делает отметку в соответствующей графе путевого листа и направляет автомобиль в ремонт.</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Обнаружив неисправность водитель вызывает автомобиль технической помощи, дежурный механик выписывает листок учета на ремонт автомобиля на линии, который передает механику технической помощи. После устранения неисправности заполненный механиком автомобиля технической помощи листок учета передается дежурному механику КТП.</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процессом управления производством понимается совокупность целенаправленных действий, предназначенных для перевода управляемой системы из начального в заранее заданное конечное состояние.</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113" w:right="170" w:firstLine="397"/>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2.2.2 Методы организации технологических процессов ТО и ТР транспортных средств</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организации ПУП ,,Миноблсантранс” для проведения уборочно-моечных работ используются тупиковый пост. Для проведения ТО-1, ТО-2 используется индивидуальный метод на универсальных постах.</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Сущность метода универсальных постов заключается в выполнении всего комплекса работ данного вида ТО на одном посту одной комплексной бригадой, включающей рабочих всех специальностей или рабочих-универсалов высокой квалификации. Форма метода универсальных постов-работы могут выполняться последовательно перемещающимися с поста на пост специализированными бригадами или рабочими производственных участков. Форма организации ТО-1 или ТО-2-организовано несколько универсальных тупиковых постов и столько же бригад рабочих. В этом случае на смежных постах поочередно работают бригады рабочих различных специальностей или рабочие производственных участков, которые после выполнения своей работы переходят с поста на пост.</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Преимущество метода организации работ на универсальных постах заключается в проведении на них различного объема работ, недостатком является увеличении времени на обслуживание автомобиля, многократное использование одинакового оборудования. В результате распределения исполнителей по постам эффективнее используется рабочее время, но из-за неравномерного поступления автомобилей и различие работ возникают трудности.</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организации ПУП ,,Миноблсантранс” для проведения ТР используется агрегатный метод на универсальных постах.</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Агрегатный метод ремонта является более прогрессивным. Заключается в замене неисправных деталей, агрегатов и узлов исправными или новыми из оборотного фонда, это позволяет сократить время простоя транспортного средства, увеличить производительность, снизить себестоимость единицы транспортной работы.</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Методы организации труда ремонтных рабочих</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организации ПУП ,,Миноблсантранс” используется метод комплексных бригад. Имеются две бригады, которые занимаются различными марками автомобилей. Схема организации производства ТО и ТР автомобилей комплексными бригадами представлена на рисунке 2.3</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2.3 - Схема организации производства ТО и ТР автомобилей комплексными бригадами</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комплексной бригаде работы ТО-1, ТО-2, ТР выполняет конкретная бригада. Число бригад равно числу автомобильных колонн в парке. В составе бригады входят рабочие различных профессий и квалификаций. ЕО выполняет отдельная бригада. Недостатки комплексных бригад - низкая производительность из-за невозможности широкой механизации работ, сохраняется «обезличка» в ответственности за качество ТО и ТР, недостаточно эффективно используется гаражное оборудование. Преимуществом метода является бригадная ответственность за качество проводимых работ по ТО и ТР.</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Сведения о производственных подразделениях</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диагностики технического состояния транспортных средств, ТО и ТР транспортных средств</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участках ТО и ТР проводят такие виды работ как: контрольно-осмотровые работы по двигателю, ремонт рулевого механизма, периодическое техническое обслуживание, текущий ремонт двигателя, узлов и агрегатов транспортного средства, ремонт стояночной и рабочей тормозной системы, ремонт топливной системы, системы питания и системы зажигания, регулировочные работы, ремонт электрооборудования.</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Техническое обслуживание автомобиля - это комплекс мер, направленных на поддержание транспортного средства в исправном состоянии и соответствующем внешнем виде, а так же на выявление и устранение возможных скрытых неисправностей. Техническое обслуживание, в отличие от ремонта, носит профилактический характер. В организации ПУП ''Миноблсантранс'' выполняются работы ТО-1, ТО-2, ТР, Д.</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ТО-1 включает в себя: крепежные работы, очистку, смазку, осмотровые работы, диагностику, регулировку оборудования.</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ТО-2, по сути, выполняет те же цели, что и ТО-1, отличие заключается в сложности и объемах работ. Крепежные, диагностические, смазочные и регулировочные работы проводятся со снятием некоторых деталей.</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Периодичность работ определяется:</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временным интервалом. Пример: ремень генератора необходимо менять каждые 2 года.</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временем и пробегом. Пример: замена масла выполняется каждый год или через 15 000 километров пробега в зависимости от того, что наступит раньше.</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Пробегом. Пример: замена ремня или цепи ГРМ, которая выполняется каждые 100-150 тысяч километров.</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Диагностика является составной частью технического обслуживания. Основной задачей диагностирования является обеспечение безопасности, функциональной надежности и эффективности работы транспортного средства, а так же сокращение затрат на его техническое обслуживание и уменьшение потерь от простоев в результате отказов и преждевременных выводов в ремонт.</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Диагностирование включает в себя следующие функции: оценка технического состояния транспортного средства, обнаружение и определение места неисправности, прогнозирование остаточного ресурса транспортного средства.</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Схема технологического процесса ТО и ТР с использованием поста диагностики приведена на рисунке 2.4.</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2.4 - Схема технологического процесса ТО и ТР с использованием поста диагностики</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Посты ТО и ТР оборудованы всем необходимым оборудованием для проведения работ. Список оборудования сводится в таблицу 2.1.</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right"/>
        <w:rPr>
          <w:smallCaps w:val="0"/>
          <w:sz w:val="28"/>
          <w:szCs w:val="28"/>
        </w:rPr>
      </w:pPr>
      <w:r w:rsidDel="00000000" w:rsidR="00000000" w:rsidRPr="00000000">
        <w:rPr>
          <w:smallCaps w:val="0"/>
          <w:sz w:val="28"/>
          <w:szCs w:val="28"/>
          <w:rtl w:val="0"/>
        </w:rPr>
        <w:t xml:space="preserve">Таблица 2.1</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Оборудование и оснастка постов ТО и ТР</w:t>
      </w:r>
    </w:p>
    <w:tbl>
      <w:tblPr>
        <w:tblStyle w:val="Table1"/>
        <w:tblW w:w="957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3"/>
        <w:gridCol w:w="2566"/>
        <w:gridCol w:w="1651.9999999999993"/>
        <w:tblGridChange w:id="0">
          <w:tblGrid>
            <w:gridCol w:w="5353"/>
            <w:gridCol w:w="2566"/>
            <w:gridCol w:w="1651.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оборудования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Тип, модель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Количество, шт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Тумбочка для инструментов</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FORCE 10217-376</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Мобильный маслораздаточный комплекс</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Groz OLP/16</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Подвесная Кран-балка</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Bimec</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Ларь для утиля</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СТМ</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Двух-стоечный подъемник</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PULI 4.0-2C</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Слесарный верстак</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ВМС-1</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Мобильная установка для сбора масла</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С-508</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Подъемный механизм для снятия и установки агрегатов грузовых автомобилей</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ПГП 36000</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bl>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Назначение постов диагностики. Диагностика, является средством получения информации о техническом состоянии автомобилей и средством управления технологическими процессами и качеством ТО и ТР. Чем сложнее автомобиль, тем сложнее определить поломку. Некоторые неисправности видны сразу, некоторые нет.</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Условно диагностику можно разделить на:</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Диагностика двигателя</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Диагностика тормозной системы</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b w:val="1"/>
          <w:smallCaps w:val="0"/>
          <w:sz w:val="28"/>
          <w:szCs w:val="28"/>
          <w:rtl w:val="0"/>
        </w:rPr>
        <w:t xml:space="preserve">. </w:t>
      </w:r>
      <w:r w:rsidDel="00000000" w:rsidR="00000000" w:rsidRPr="00000000">
        <w:rPr>
          <w:smallCaps w:val="0"/>
          <w:sz w:val="28"/>
          <w:szCs w:val="28"/>
          <w:rtl w:val="0"/>
        </w:rPr>
        <w:t xml:space="preserve">Диагностика других систем автомобиля</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диагностикой подразумевается определение параметров систем современных автомобилей, которые управляются и контролируются бортовыми компьютерами. Основным оборудованием для диагностики являются: мотор-тестеры, сканеры и газоанализаторы.</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Надежность автомобиля зависит от работоспособности рабочей тормозной системы, рулевого управления, регулировки света фар, состояния подвески и др. Полученная информация оформляется в виде диагностических карт и контрольных листов. Схема технологического процесса диагностирования дизельного двигателя представлена на рисунке 2.4.</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2.4 - Схема поэлементного диагностирования дизельного двигателя</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попадания автомобиля на участок ТО, ТР, Д транспортное средство попадает на пост диагностики, на котором работают два специалиста, проводится диагностика на основании которой оформляется листок учета.</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прохождения поста диагностики транспортное средство попадает на пост ТО и ТР, перегоном транспортного средства занимается механик, который оформил данное транспортное средство и несет ответственность за его перемещение и качеством выполняемых работ указанных в листке учета. На 4 полностью укомплектованных постах ТО и ТР работают восемь специалистов, два работника на пост, на постах вместе со специалистами могут работать до 4 стажеров более низких разрядов.</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завершению работ работник на которого был оформлен листок учета закрывает его, тем самым подтверждая качество выполненной им работы.</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 диагностики оборудован всем необходимым оборудованием для проведения работ. Список оборудования сводится в таблицу 2.2.</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ind w:firstLine="709"/>
        <w:jc w:val="right"/>
        <w:rPr>
          <w:smallCaps w:val="0"/>
          <w:sz w:val="28"/>
          <w:szCs w:val="28"/>
        </w:rPr>
      </w:pPr>
      <w:r w:rsidDel="00000000" w:rsidR="00000000" w:rsidRPr="00000000">
        <w:rPr>
          <w:smallCaps w:val="0"/>
          <w:sz w:val="28"/>
          <w:szCs w:val="28"/>
          <w:rtl w:val="0"/>
        </w:rPr>
        <w:t xml:space="preserve">Таблица 2.2</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Оборудование и оснастка поста диагностики</w:t>
      </w:r>
    </w:p>
    <w:tbl>
      <w:tblPr>
        <w:tblStyle w:val="Table2"/>
        <w:tblW w:w="950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8"/>
        <w:gridCol w:w="2732"/>
        <w:gridCol w:w="1775"/>
        <w:tblGridChange w:id="0">
          <w:tblGrid>
            <w:gridCol w:w="4998"/>
            <w:gridCol w:w="2732"/>
            <w:gridCol w:w="17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оборудования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Тип, модель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Количество, шт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Диагностический сканер</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LAUNCH X-431 PRO</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Системный тестер</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BOSCH KTS Truck</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Мотор-тестер</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MotoDoc III</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Компрессометр</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Toptul JGA/0402</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Набор для измерения давления топлива</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Topauto И-2410 95183</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Тестер системы охлаждения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Diagauto MST-URP001</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Тестер тормозной жидкости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Toptul JJDB0101</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Прибор для измерения давления масла</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Мастак 120-20010С</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Тестер давления масла</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LEITENBERGER OPA-01</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Прибор для определения плотности жидкостей Diesel</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FT 2050</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Стационарный многокомпонентный газоанализатор</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Анкат-410</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r>
    </w:tbl>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ind w:left="113" w:right="170" w:firstLine="397"/>
        <w:jc w:val="both"/>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2.3.2 Участок мойки</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организации ПУП ''Миноблсантранс'' также проводится бесконтактная мойка. Участок мойки нужен для поддержания чистого внешнего вида транспортного средства, также мойка частично исключает появления коррозии. Удаление загрязнений осуществляется с использованием специальных сильнодействующих моющих средств (активная пена или бесконтактный шампунь) и мощных струй воды под высоким давлением. Бесконтактная мойка является самой безопасной и щадящей для лакокрасочного покрытия. Для эффективной мойки автомобилей в зимнее время перед поступлением на пост они устанавливаются на 20-30 минут на посты предварительного обогрева в теплом помещении, важную роль также играет температура воды, она должна быть теплой, при этом ускоряется процесс мойки. Плюсы бесконтактной мойки: сокращение времени на мойку, получение низкой себестоимости мойки, растет пропускная способность транспортных средств, получение эффекта удаления различных загрязнений, получение долговременной защиты автомобиля от пыли и грязи, экологичность технологических процессов. На рисунке 2.5 предоставлена схема технологического процесса выполнения моечных работ.</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2.5 - Схема технологического процесса выполнения мойки</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участке мойки работает 1 мойщик, он выполняет полный объем обслуживания автомобилей:</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Предварительная мойка</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Мойка колес</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мойка</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Консервация и полировка</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Сушка</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Очень важно производить мойку транспортного средства с учетом соблюдения всех необходимых процессов, от этого зависит качество мойки и правильное эксплуатирование транспортного средства, а также его внешний вид. ПУП ''Миноблсантранс'' располагает специальным помещением для проведения различных видов обслуживания, требующих соблюдения определенных условий. Мы осуществляем мойку транспортных средств в д. Лесковке, моем любые загрязнения начиная от органических, неорганических и смешанных.</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мойки работает: пн-вскр: 10:00 - 18:00.</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укомплектован всем необходимым оборудованием для проведения мойки транспортного средства, оборудование своевременно проверяется, что обеспечивает качество мойки. Список оборудования представлен в таблице 2.2.</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360" w:lineRule="auto"/>
        <w:ind w:firstLine="709"/>
        <w:jc w:val="right"/>
        <w:rPr>
          <w:smallCaps w:val="0"/>
          <w:sz w:val="28"/>
          <w:szCs w:val="28"/>
        </w:rPr>
      </w:pPr>
      <w:r w:rsidDel="00000000" w:rsidR="00000000" w:rsidRPr="00000000">
        <w:rPr>
          <w:smallCaps w:val="0"/>
          <w:sz w:val="28"/>
          <w:szCs w:val="28"/>
          <w:rtl w:val="0"/>
        </w:rPr>
        <w:t xml:space="preserve">Таблица 2.2</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Оборудование и оснастка участка мойки</w:t>
      </w:r>
    </w:p>
    <w:tbl>
      <w:tblPr>
        <w:tblStyle w:val="Table3"/>
        <w:tblW w:w="950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
        <w:gridCol w:w="2245.9999999999995"/>
        <w:gridCol w:w="1498"/>
        <w:gridCol w:w="658.0000000000001"/>
        <w:gridCol w:w="1021.0000000000002"/>
        <w:gridCol w:w="643.9999999999998"/>
        <w:gridCol w:w="700"/>
        <w:gridCol w:w="643.9999999999998"/>
        <w:gridCol w:w="826.0000000000002"/>
        <w:gridCol w:w="770"/>
        <w:tblGridChange w:id="0">
          <w:tblGrid>
            <w:gridCol w:w="498"/>
            <w:gridCol w:w="2245.9999999999995"/>
            <w:gridCol w:w="1498"/>
            <w:gridCol w:w="658.0000000000001"/>
            <w:gridCol w:w="1021.0000000000002"/>
            <w:gridCol w:w="643.9999999999998"/>
            <w:gridCol w:w="700"/>
            <w:gridCol w:w="643.9999999999998"/>
            <w:gridCol w:w="826.0000000000002"/>
            <w:gridCol w:w="77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w:t>
            </w:r>
          </w:p>
        </w:tc>
        <w:tc>
          <w:tcPr>
            <w:shd w:fill="auto" w:val="clear"/>
            <w:tcMar>
              <w:top w:w="0.0" w:type="dxa"/>
              <w:left w:w="0.0" w:type="dxa"/>
              <w:bottom w:w="0.0" w:type="dxa"/>
              <w:right w:w="0.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Тип</w:t>
            </w:r>
          </w:p>
        </w:tc>
        <w:tc>
          <w:tcPr>
            <w:shd w:fill="auto" w:val="clear"/>
            <w:tcMar>
              <w:top w:w="0.0" w:type="dxa"/>
              <w:left w:w="0.0" w:type="dxa"/>
              <w:bottom w:w="0.0" w:type="dxa"/>
              <w:right w:w="0.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К-во.</w:t>
            </w:r>
          </w:p>
        </w:tc>
        <w:tc>
          <w:tcPr>
            <w:shd w:fill="auto" w:val="clear"/>
            <w:tcMar>
              <w:top w:w="0.0" w:type="dxa"/>
              <w:left w:w="0.0" w:type="dxa"/>
              <w:bottom w:w="0.0" w:type="dxa"/>
              <w:right w:w="0.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Габарит. р-р, мм</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Площадь, м2</w:t>
            </w:r>
          </w:p>
        </w:tc>
        <w:tc>
          <w:tcPr>
            <w:shd w:fill="auto" w:val="clear"/>
            <w:tcMar>
              <w:top w:w="0.0" w:type="dxa"/>
              <w:left w:w="0.0" w:type="dxa"/>
              <w:bottom w:w="0.0" w:type="dxa"/>
              <w:right w:w="0.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N, кВт</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Цена, руб.</w:t>
            </w:r>
          </w:p>
        </w:tc>
      </w:tr>
      <w:tr>
        <w:tc>
          <w:tcPr>
            <w:shd w:fill="auto" w:val="clear"/>
            <w:tcMar>
              <w:top w:w="0.0" w:type="dxa"/>
              <w:left w:w="0.0" w:type="dxa"/>
              <w:bottom w:w="0.0" w:type="dxa"/>
              <w:right w:w="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Ед.</w:t>
            </w:r>
          </w:p>
        </w:tc>
        <w:tc>
          <w:tcPr>
            <w:shd w:fill="auto" w:val="clear"/>
            <w:tcMar>
              <w:top w:w="0.0" w:type="dxa"/>
              <w:left w:w="0.0" w:type="dxa"/>
              <w:bottom w:w="0.0" w:type="dxa"/>
              <w:right w:w="0.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Общ.</w:t>
            </w:r>
          </w:p>
        </w:tc>
        <w:tc>
          <w:tcPr>
            <w:shd w:fill="auto" w:val="clear"/>
            <w:tcMar>
              <w:top w:w="0.0" w:type="dxa"/>
              <w:left w:w="0.0" w:type="dxa"/>
              <w:bottom w:w="0.0" w:type="dxa"/>
              <w:right w:w="0.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ед.</w:t>
            </w:r>
          </w:p>
        </w:tc>
        <w:tc>
          <w:tcPr>
            <w:shd w:fill="auto" w:val="clear"/>
            <w:tcMar>
              <w:top w:w="0.0" w:type="dxa"/>
              <w:left w:w="0.0" w:type="dxa"/>
              <w:bottom w:w="0.0" w:type="dxa"/>
              <w:right w:w="0.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всего</w:t>
            </w:r>
          </w:p>
        </w:tc>
      </w:tr>
      <w:tr>
        <w:tc>
          <w:tcPr>
            <w:shd w:fill="auto" w:val="clear"/>
            <w:tcMar>
              <w:top w:w="0.0" w:type="dxa"/>
              <w:left w:w="0.0" w:type="dxa"/>
              <w:bottom w:w="0.0" w:type="dxa"/>
              <w:right w:w="0.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Пенокомплект</w:t>
            </w:r>
          </w:p>
        </w:tc>
        <w:tc>
          <w:tcPr>
            <w:shd w:fill="auto" w:val="clear"/>
            <w:tcMar>
              <w:top w:w="0.0" w:type="dxa"/>
              <w:left w:w="0.0" w:type="dxa"/>
              <w:bottom w:w="0.0" w:type="dxa"/>
              <w:right w:w="0.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Grass PK-0111</w:t>
            </w:r>
          </w:p>
        </w:tc>
        <w:tc>
          <w:tcPr>
            <w:shd w:fill="auto" w:val="clear"/>
            <w:tcMar>
              <w:top w:w="0.0" w:type="dxa"/>
              <w:left w:w="0.0" w:type="dxa"/>
              <w:bottom w:w="0.0" w:type="dxa"/>
              <w:right w:w="0.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90,55</w:t>
            </w:r>
          </w:p>
        </w:tc>
        <w:tc>
          <w:tcPr>
            <w:shd w:fill="auto" w:val="clear"/>
            <w:tcMar>
              <w:top w:w="0.0" w:type="dxa"/>
              <w:left w:w="0.0" w:type="dxa"/>
              <w:bottom w:w="0.0" w:type="dxa"/>
              <w:right w:w="0.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90,55</w:t>
            </w:r>
          </w:p>
        </w:tc>
      </w:tr>
      <w:tr>
        <w:tc>
          <w:tcPr>
            <w:shd w:fill="auto" w:val="clear"/>
            <w:tcMar>
              <w:top w:w="0.0" w:type="dxa"/>
              <w:left w:w="0.0" w:type="dxa"/>
              <w:bottom w:w="0.0" w:type="dxa"/>
              <w:right w:w="0.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Водопылесос</w:t>
            </w:r>
          </w:p>
        </w:tc>
        <w:tc>
          <w:tcPr>
            <w:shd w:fill="auto" w:val="clear"/>
            <w:tcMar>
              <w:top w:w="0.0" w:type="dxa"/>
              <w:left w:w="0.0" w:type="dxa"/>
              <w:bottom w:w="0.0" w:type="dxa"/>
              <w:right w:w="0.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Karcher</w:t>
            </w:r>
          </w:p>
        </w:tc>
        <w:tc>
          <w:tcPr>
            <w:shd w:fill="auto" w:val="clear"/>
            <w:tcMar>
              <w:top w:w="0.0" w:type="dxa"/>
              <w:left w:w="0.0" w:type="dxa"/>
              <w:bottom w:w="0.0" w:type="dxa"/>
              <w:right w:w="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500х600</w:t>
            </w:r>
          </w:p>
        </w:tc>
        <w:tc>
          <w:tcPr>
            <w:shd w:fill="auto" w:val="clear"/>
            <w:tcMar>
              <w:top w:w="0.0" w:type="dxa"/>
              <w:left w:w="0.0" w:type="dxa"/>
              <w:bottom w:w="0.0" w:type="dxa"/>
              <w:right w:w="0.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w:t>
            </w:r>
          </w:p>
        </w:tc>
        <w:tc>
          <w:tcPr>
            <w:shd w:fill="auto" w:val="clear"/>
            <w:tcMar>
              <w:top w:w="0.0" w:type="dxa"/>
              <w:left w:w="0.0" w:type="dxa"/>
              <w:bottom w:w="0.0" w:type="dxa"/>
              <w:right w:w="0.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w:t>
            </w:r>
          </w:p>
        </w:tc>
        <w:tc>
          <w:tcPr>
            <w:shd w:fill="auto" w:val="clear"/>
            <w:tcMar>
              <w:top w:w="0.0" w:type="dxa"/>
              <w:left w:w="0.0" w:type="dxa"/>
              <w:bottom w:w="0.0" w:type="dxa"/>
              <w:right w:w="0.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700, 90</w:t>
            </w:r>
          </w:p>
        </w:tc>
        <w:tc>
          <w:tcPr>
            <w:shd w:fill="auto" w:val="clear"/>
            <w:tcMar>
              <w:top w:w="0.0" w:type="dxa"/>
              <w:left w:w="0.0" w:type="dxa"/>
              <w:bottom w:w="0.0" w:type="dxa"/>
              <w:right w:w="0.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700,90</w:t>
            </w:r>
          </w:p>
        </w:tc>
      </w:tr>
      <w:tr>
        <w:tc>
          <w:tcPr>
            <w:shd w:fill="auto" w:val="clear"/>
            <w:tcMar>
              <w:top w:w="0.0" w:type="dxa"/>
              <w:left w:w="0.0" w:type="dxa"/>
              <w:bottom w:w="0.0" w:type="dxa"/>
              <w:right w:w="0.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Автофен</w:t>
            </w:r>
          </w:p>
        </w:tc>
        <w:tc>
          <w:tcPr>
            <w:shd w:fill="auto" w:val="clear"/>
            <w:tcMar>
              <w:top w:w="0.0" w:type="dxa"/>
              <w:left w:w="0.0" w:type="dxa"/>
              <w:bottom w:w="0.0" w:type="dxa"/>
              <w:right w:w="0.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CarFon</w:t>
            </w:r>
          </w:p>
        </w:tc>
        <w:tc>
          <w:tcPr>
            <w:shd w:fill="auto" w:val="clear"/>
            <w:tcMar>
              <w:top w:w="0.0" w:type="dxa"/>
              <w:left w:w="0.0" w:type="dxa"/>
              <w:bottom w:w="0.0" w:type="dxa"/>
              <w:right w:w="0.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w:t>
            </w:r>
          </w:p>
        </w:tc>
        <w:tc>
          <w:tcPr>
            <w:shd w:fill="auto" w:val="clear"/>
            <w:tcMar>
              <w:top w:w="0.0" w:type="dxa"/>
              <w:left w:w="0.0" w:type="dxa"/>
              <w:bottom w:w="0.0" w:type="dxa"/>
              <w:right w:w="0.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w:t>
            </w:r>
          </w:p>
        </w:tc>
      </w:tr>
      <w:tr>
        <w:tc>
          <w:tcPr>
            <w:shd w:fill="auto" w:val="clear"/>
            <w:tcMar>
              <w:top w:w="0.0" w:type="dxa"/>
              <w:left w:w="0.0" w:type="dxa"/>
              <w:bottom w:w="0.0" w:type="dxa"/>
              <w:right w:w="0.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Водонапорная станция</w:t>
            </w:r>
          </w:p>
        </w:tc>
        <w:tc>
          <w:tcPr>
            <w:shd w:fill="auto" w:val="clear"/>
            <w:tcMar>
              <w:top w:w="0.0" w:type="dxa"/>
              <w:left w:w="0.0" w:type="dxa"/>
              <w:bottom w:w="0.0" w:type="dxa"/>
              <w:right w:w="0.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JPB5</w:t>
            </w:r>
          </w:p>
        </w:tc>
        <w:tc>
          <w:tcPr>
            <w:shd w:fill="auto" w:val="clear"/>
            <w:tcMar>
              <w:top w:w="0.0" w:type="dxa"/>
              <w:left w:w="0.0" w:type="dxa"/>
              <w:bottom w:w="0.0" w:type="dxa"/>
              <w:right w:w="0.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400х1450</w:t>
            </w:r>
          </w:p>
        </w:tc>
        <w:tc>
          <w:tcPr>
            <w:shd w:fill="auto" w:val="clear"/>
            <w:tcMar>
              <w:top w:w="0.0" w:type="dxa"/>
              <w:left w:w="0.0" w:type="dxa"/>
              <w:bottom w:w="0.0" w:type="dxa"/>
              <w:right w:w="0.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w:t>
            </w:r>
          </w:p>
        </w:tc>
        <w:tc>
          <w:tcPr>
            <w:shd w:fill="auto" w:val="clear"/>
            <w:tcMar>
              <w:top w:w="0.0" w:type="dxa"/>
              <w:left w:w="0.0" w:type="dxa"/>
              <w:bottom w:w="0.0" w:type="dxa"/>
              <w:right w:w="0.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w:t>
            </w:r>
          </w:p>
        </w:tc>
        <w:tc>
          <w:tcPr>
            <w:shd w:fill="auto" w:val="clear"/>
            <w:tcMar>
              <w:top w:w="0.0" w:type="dxa"/>
              <w:left w:w="0.0" w:type="dxa"/>
              <w:bottom w:w="0.0" w:type="dxa"/>
              <w:right w:w="0.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725,2</w:t>
            </w:r>
          </w:p>
        </w:tc>
        <w:tc>
          <w:tcPr>
            <w:shd w:fill="auto" w:val="clear"/>
            <w:tcMar>
              <w:top w:w="0.0" w:type="dxa"/>
              <w:left w:w="0.0" w:type="dxa"/>
              <w:bottom w:w="0.0" w:type="dxa"/>
              <w:right w:w="0.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725,2</w:t>
            </w:r>
          </w:p>
        </w:tc>
      </w:tr>
      <w:tr>
        <w:tc>
          <w:tcPr>
            <w:shd w:fill="auto" w:val="clear"/>
            <w:tcMar>
              <w:top w:w="0.0" w:type="dxa"/>
              <w:left w:w="0.0" w:type="dxa"/>
              <w:bottom w:w="0.0" w:type="dxa"/>
              <w:right w:w="0.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Полировальная шлифмашина</w:t>
            </w:r>
          </w:p>
        </w:tc>
        <w:tc>
          <w:tcPr>
            <w:shd w:fill="auto" w:val="clear"/>
            <w:tcMar>
              <w:top w:w="0.0" w:type="dxa"/>
              <w:left w:w="0.0" w:type="dxa"/>
              <w:bottom w:w="0.0" w:type="dxa"/>
              <w:right w:w="0.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Makita PW5000CH</w:t>
            </w:r>
          </w:p>
        </w:tc>
        <w:tc>
          <w:tcPr>
            <w:shd w:fill="auto" w:val="clear"/>
            <w:tcMar>
              <w:top w:w="0.0" w:type="dxa"/>
              <w:left w:w="0.0" w:type="dxa"/>
              <w:bottom w:w="0.0" w:type="dxa"/>
              <w:right w:w="0.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150,3</w:t>
            </w:r>
          </w:p>
        </w:tc>
        <w:tc>
          <w:tcPr>
            <w:shd w:fill="auto" w:val="clear"/>
            <w:tcMar>
              <w:top w:w="0.0" w:type="dxa"/>
              <w:left w:w="0.0" w:type="dxa"/>
              <w:bottom w:w="0.0" w:type="dxa"/>
              <w:right w:w="0.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150,3</w:t>
            </w:r>
          </w:p>
        </w:tc>
      </w:tr>
      <w:tr>
        <w:tc>
          <w:tcPr>
            <w:shd w:fill="auto" w:val="clear"/>
            <w:tcMar>
              <w:top w:w="0.0" w:type="dxa"/>
              <w:left w:w="0.0" w:type="dxa"/>
              <w:bottom w:w="0.0" w:type="dxa"/>
              <w:right w:w="0.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Аппарат высокого давления (с подогревом воды)</w:t>
            </w:r>
          </w:p>
        </w:tc>
        <w:tc>
          <w:tcPr>
            <w:shd w:fill="auto" w:val="clear"/>
            <w:tcMar>
              <w:top w:w="0.0" w:type="dxa"/>
              <w:left w:w="0.0" w:type="dxa"/>
              <w:bottom w:w="0.0" w:type="dxa"/>
              <w:right w:w="0.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Karcher</w:t>
            </w:r>
          </w:p>
        </w:tc>
        <w:tc>
          <w:tcPr>
            <w:shd w:fill="auto" w:val="clear"/>
            <w:tcMar>
              <w:top w:w="0.0" w:type="dxa"/>
              <w:left w:w="0.0" w:type="dxa"/>
              <w:bottom w:w="0.0" w:type="dxa"/>
              <w:right w:w="0.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500х600</w:t>
            </w:r>
          </w:p>
        </w:tc>
        <w:tc>
          <w:tcPr>
            <w:shd w:fill="auto" w:val="clear"/>
            <w:tcMar>
              <w:top w:w="0.0" w:type="dxa"/>
              <w:left w:w="0.0" w:type="dxa"/>
              <w:bottom w:w="0.0" w:type="dxa"/>
              <w:right w:w="0.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w:t>
            </w:r>
          </w:p>
        </w:tc>
        <w:tc>
          <w:tcPr>
            <w:shd w:fill="auto" w:val="clear"/>
            <w:tcMar>
              <w:top w:w="0.0" w:type="dxa"/>
              <w:left w:w="0.0" w:type="dxa"/>
              <w:bottom w:w="0.0" w:type="dxa"/>
              <w:right w:w="0.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0,3</w:t>
            </w:r>
          </w:p>
        </w:tc>
        <w:tc>
          <w:tcPr>
            <w:shd w:fill="auto" w:val="clear"/>
            <w:tcMar>
              <w:top w:w="0.0" w:type="dxa"/>
              <w:left w:w="0.0" w:type="dxa"/>
              <w:bottom w:w="0.0" w:type="dxa"/>
              <w:right w:w="0.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825,5</w:t>
            </w:r>
          </w:p>
        </w:tc>
        <w:tc>
          <w:tcPr>
            <w:shd w:fill="auto" w:val="clear"/>
            <w:tcMar>
              <w:top w:w="0.0" w:type="dxa"/>
              <w:left w:w="0.0" w:type="dxa"/>
              <w:bottom w:w="0.0" w:type="dxa"/>
              <w:right w:w="0.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825,5</w:t>
            </w:r>
          </w:p>
        </w:tc>
      </w:tr>
      <w:tr>
        <w:tc>
          <w:tcPr>
            <w:shd w:fill="auto" w:val="clear"/>
            <w:tcMar>
              <w:top w:w="0.0" w:type="dxa"/>
              <w:left w:w="0.0" w:type="dxa"/>
              <w:bottom w:w="0.0" w:type="dxa"/>
              <w:right w:w="0.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Умывальник</w:t>
            </w:r>
          </w:p>
        </w:tc>
        <w:tc>
          <w:tcPr>
            <w:shd w:fill="auto" w:val="clear"/>
            <w:tcMar>
              <w:top w:w="0.0" w:type="dxa"/>
              <w:left w:w="0.0" w:type="dxa"/>
              <w:bottom w:w="0.0" w:type="dxa"/>
              <w:right w:w="0.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Frap F171</w:t>
            </w:r>
          </w:p>
        </w:tc>
        <w:tc>
          <w:tcPr>
            <w:shd w:fill="auto" w:val="clear"/>
            <w:tcMar>
              <w:top w:w="0.0" w:type="dxa"/>
              <w:left w:w="0.0" w:type="dxa"/>
              <w:bottom w:w="0.0" w:type="dxa"/>
              <w:right w:w="0.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500х500</w:t>
            </w:r>
          </w:p>
        </w:tc>
        <w:tc>
          <w:tcPr>
            <w:shd w:fill="auto" w:val="clear"/>
            <w:tcMar>
              <w:top w:w="0.0" w:type="dxa"/>
              <w:left w:w="0.0" w:type="dxa"/>
              <w:bottom w:w="0.0" w:type="dxa"/>
              <w:right w:w="0.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0,5</w:t>
            </w:r>
          </w:p>
        </w:tc>
        <w:tc>
          <w:tcPr>
            <w:shd w:fill="auto" w:val="clear"/>
            <w:tcMar>
              <w:top w:w="0.0" w:type="dxa"/>
              <w:left w:w="0.0" w:type="dxa"/>
              <w:bottom w:w="0.0" w:type="dxa"/>
              <w:right w:w="0.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0,5</w:t>
            </w:r>
          </w:p>
        </w:tc>
        <w:tc>
          <w:tcPr>
            <w:shd w:fill="auto" w:val="clear"/>
            <w:tcMar>
              <w:top w:w="0.0" w:type="dxa"/>
              <w:left w:w="0.0" w:type="dxa"/>
              <w:bottom w:w="0.0" w:type="dxa"/>
              <w:right w:w="0.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100,71</w:t>
            </w:r>
          </w:p>
        </w:tc>
        <w:tc>
          <w:tcPr>
            <w:shd w:fill="auto" w:val="clear"/>
            <w:tcMar>
              <w:top w:w="0.0" w:type="dxa"/>
              <w:left w:w="0.0" w:type="dxa"/>
              <w:bottom w:w="0.0" w:type="dxa"/>
              <w:right w:w="0.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100,71</w:t>
            </w:r>
          </w:p>
        </w:tc>
      </w:tr>
      <w:tr>
        <w:tc>
          <w:tcPr>
            <w:shd w:fill="auto" w:val="clear"/>
            <w:tcMar>
              <w:top w:w="0.0" w:type="dxa"/>
              <w:left w:w="0.0" w:type="dxa"/>
              <w:bottom w:w="0.0" w:type="dxa"/>
              <w:right w:w="0.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Шкаф для моющих средств</w:t>
            </w:r>
          </w:p>
        </w:tc>
        <w:tc>
          <w:tcPr>
            <w:shd w:fill="auto" w:val="clear"/>
            <w:tcMar>
              <w:top w:w="0.0" w:type="dxa"/>
              <w:left w:w="0.0" w:type="dxa"/>
              <w:bottom w:w="0.0" w:type="dxa"/>
              <w:right w:w="0.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СИ</w:t>
            </w:r>
          </w:p>
        </w:tc>
        <w:tc>
          <w:tcPr>
            <w:shd w:fill="auto" w:val="clear"/>
            <w:tcMar>
              <w:top w:w="0.0" w:type="dxa"/>
              <w:left w:w="0.0" w:type="dxa"/>
              <w:bottom w:w="0.0" w:type="dxa"/>
              <w:right w:w="0.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900х400</w:t>
            </w:r>
          </w:p>
        </w:tc>
        <w:tc>
          <w:tcPr>
            <w:shd w:fill="auto" w:val="clear"/>
            <w:tcMar>
              <w:top w:w="0.0" w:type="dxa"/>
              <w:left w:w="0.0" w:type="dxa"/>
              <w:bottom w:w="0.0" w:type="dxa"/>
              <w:right w:w="0.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w:t>
            </w:r>
          </w:p>
        </w:tc>
        <w:tc>
          <w:tcPr>
            <w:shd w:fill="auto" w:val="clear"/>
            <w:tcMar>
              <w:top w:w="0.0" w:type="dxa"/>
              <w:left w:w="0.0" w:type="dxa"/>
              <w:bottom w:w="0.0" w:type="dxa"/>
              <w:right w:w="0.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0,6</w:t>
            </w:r>
          </w:p>
        </w:tc>
        <w:tc>
          <w:tcPr>
            <w:shd w:fill="auto" w:val="clear"/>
            <w:tcMar>
              <w:top w:w="0.0" w:type="dxa"/>
              <w:left w:w="0.0" w:type="dxa"/>
              <w:bottom w:w="0.0" w:type="dxa"/>
              <w:right w:w="0.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3093,16</w:t>
            </w:r>
          </w:p>
        </w:tc>
      </w:tr>
    </w:tbl>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производственный технологический автотранспортный</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ind w:left="113" w:right="170" w:firstLine="397"/>
        <w:jc w:val="both"/>
        <w:rPr>
          <w:smallCaps w:val="0"/>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Охрана труда и окружающей среды</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Общие требования охраны труда</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ПУП ''Миноблсантранс'' использует полный перечень документации по охране труда и следит за выполнением:</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Пункт 1. Приказы по охране труда</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назначении уполномоченного по охране труда;</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создании комиссии по проверке знаний требований охраны труда;</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проведении обучения по охране труда и своевременному оказанию первой помощи;</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проведении обучения по охране труда и оказанию первой медицинской помощи с работающими лицами организации;</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об организации работы по охране труда;</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безопасной эксплуатации зданий и сооружений;</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введение в действие инструкций по охране труда;</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контроле за состоянием и условиями охраны труда;</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разработке инструкций по охране труда;</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назначении ответственного за электрохозяйство предприятия.</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Пункт 2. Программы инструктажей и обучения по охране труда</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Программа вводного инструктажа по охране труда;</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Программа проведения первичного инструктажа на рабочем месте;</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Программа обучения работников предприятия оказанию первой медицинской помощи пострадавшим;</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Программа обучения вопросам охраны труда.</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Пункт 3. Инструкции охраны труда</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Общий перечень инструкций, которые действуют в ПУП «Миноблсантранс»;</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Инструкция охраны труда для проведения вводного инструктажа;</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Инструкция проведения вводного противопожарного инструктажа;</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Инструкция оказания первой медицинской помощи пострадавшим;</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Инструкция охраны труда при работе вне территории предприятия.</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Пункт 4. Медицинские осмотры</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работников, подлежащих предварительным и периодическим медосмотрам;</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Направления на медицинские осмотры;</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работников, подлежащих обязательным медосмотрам;</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Календарный план прохождения периодического медосмотра.</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Пункт 5. Документы об организации работы по охране труда</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Инструкция специалиста по охране труда;</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 проверки знаний охраны труда;</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Удостоверение о проверке знаний охраны труда;</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 проверки знаний требований охраны труда работников предприятия;</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 проверки знаний оказания первой медицинской помощи пострадавшим;</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мероприятий по улучшению условий и охраны труда;</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финансов мероприятий по улучшению условий и охраны труда.</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Пункт 6. Журналы по охране труда</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регистрации вводного инструктажа по охране труда;</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регистрации инструктажа на рабочем месте по охране труда;</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соблюдения инструкций охраны труда;</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технической эксплуатации сооружений и зданий;</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учета проверок проводимых органами государственного контроля;</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несчастных случаев на производстве.</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Пункт 7. Документы для оформления расследования несчастного случая на производстве</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 о несчастном случае на производстве.</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 о расследовании группового несчастного случая.</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 осмотра места несчастного случая.</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 опроса потерпевшего при несчастном случае.</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 опроса свидетелей несчастного случая.</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Протокол опроса руководства.</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Сообщение о несчастном случае на производстве и принятие мер.</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Нормативно-правовая база обеспечения работ по охране труда</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Трудовой Кодекс РБ.</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3. Приказ Министерство здравоохранения Республики Беларусь &lt;http://minzdrav.gov.by/&gt; от 01.03.2012 №181 (ред. от 16.06.2014) «Об утверждении Типового перечня ежегодно реализуемых работодателем мероприятий по улучшению условий и охраны труда и снижению уровней рисков».</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Постановление Министерства труда Республики Беларусь и Министерства образования Республики Беларусь от 13 января 2003 г. №1/29 «Об утверждении Порядка обучения по охране труда и проверки знаний требований охраны труда работников организаций».</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Министерства труда Республики Беларусь от 10.12.2012 №580 (ред. от 20.02.2014)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опасными производственными факторами».</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Минздравсоцразвития Республики Беларусь от 17.12.2010 №1122 (ред. от 20.02.2014) «Об утверждении типовых норм бесплатной выдачи работникам смывающих и обезвреживающих средств и стандарта безопасности труда».</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Минздравсоцразвития Республики Беларусь от 01.06.2009 №290 (ред. от 12.01.2015)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Постановление Министерства труда Республики Беларусь от 24.10.2002 №73 (ред. от 20.02.2014)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Республиканский закон от 28.12.2013 №426-ФЗ «О специальной оценке условий труда».</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вопросы по охране труда возлагаются на главного инженера, этот специалист следит за соблюдением правил охраны труда. Крупнейшая часть его работы связана с подготовкой правил внутреннего трудового распорядка, инструкциями по охране труда, инструкциями по пожарной безопасности. Главный инженер отвечает за соответствие нормам безопасности рабочих мест.</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Обязанности главного инженера:</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Осуществляет проверку за соблюдением в подразделениях законодательных и нормативных правовых актов по охране труда, проведением профилактических работ по предупреждению производственного травматизма, мероприятий по созданию здоровых и безопасных условий труда на предприятии.</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Изучает условия труда на рабочих местах, работу по проведению замеров вредных и опасных факторов, сертификации рабочих мест и оборудования на соответствие требованиям охраны труда, осуществляет контроль своевременного проведения планируемых мероприятий.</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несчастных случаях участвует в их рассмотрении, разрабатывает меры их предотвращения.</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Информирует работников об условиях труда на рабочем месте, а также о принятых мерах по защите от опасных и вредных факторов, подготавливает документы на выплату возмещения вреда, причиненного здоровью работников в результате несчастного случая.</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Организует проведение проверок, проверяет состояния зданий, сооружений, оборудования, машин на соответствие их требованиям нормативных правовых актов по охране труда, состояния санитарно-технических устройств, бытовых помещений, средств индивидуальной защиты работников.</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Подготавливает предложения о внедрении более совершенных конструкций, предохранительных устройств, рациональных режимов труда и отдыха.</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Участвует в составлении информации «Охрана труда» коллективного договора, осуществляет контроль за его выполнением, а также контролирует выполнением предписаний органов государственного надзора и контроля, других мероприятий по улучшению условий труда.</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Участвует в согласовании разрабатываемой документации, в работе комиссий по приемке в эксплуатацию законченных строительством объектов, по приемке из ремонта агрегатов и другого оборудования.</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Оказывает помощь руководителям подразделений в составлении списков профессий, в соответствии с которыми работники должны пройти обязательный предварительный и периодический медосмотр, а также списков профессий, в соответствии с которыми работникам предоставляются компенсации за вредные условия труда.</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Обеспечивает проведение инструктажей, обучения и проверки знаний по охране труда работников.</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ПУП ''Миноблсантранс'' проводят все инструктажи, при инструктаже уделяется внимание рабочим со стажем работы до 1 года, а также рабочим с опытом. У работников с малым стажем работы чаще могут возникнуть травмы. По характеру и времени проведения инструктажи делятся на:</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вводный;</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первичный на рабочем месте;</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повторный;</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внеплановый;</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целевой.</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Вводный инструктаж проводит главный инженер или специалист, на которого возложены эти обязанности, со всеми принимаемыми на работу, не зависимо от стажа работы, образования, учащимися и студентами, прибывшими на производственное обучение или практику, а также учащимися в учебных заведениях. О проведении вводного инструктажа делают запись в журнале вводного инструктажа с подписью инструктируемого и инструктирующего, а также в документе о приеме на работу. Проведение вводного инструктажа с учащимися регистрируют в журнале учета учебной работы.</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Первичный инструктаж проводит руководитель работ на рабочем месте до начала производственной деятельности, по инструкциям, разработанным для отдельных профессий или видов работ:</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работниками, вновь принятыми в организацию, и переводимыми из одного подразделения в другое;</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работниками, выполняющими новую для них работу, временными работниками;</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 студентами и учащимися, прибывшими на производственное обучение или практику перед выполнением новых видов работ.</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Лица, которые не связаны с обслуживанием, испытанием, ремонтом оборудования, хранением и применением сырья и материалов, первичный инструктаж не проходят.</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работники после первичного инструктажа на рабочем месте должны в течение первых 2-14 смен (в зависимости от характера работы, квалификации работника) пройти стажировку по безопасным методам и приемам труда на рабочем месте под руководством лиц, назначенных приказом нанимателя. Практиканты прикрепляются к квалифицированным специалистам на время прохождения практики.</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Повторный инструктаж проходят все работающие не зависимо от квалификации, образования, стажа, за исключением лиц не связанных с обслуживанием, испытанием, ремонта оборудования. Его проводят с целью проверки знаний правил по охране труда, а также с целью повышения знаний индивидуально или с группой работников одной профессии.</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Повторный инструктаж проводится по программам первичного инструктажа на рабочем месте.</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Внеплановый инструктаж проводится:</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1. при введении в действие новых стандартов, правил, инструкций &lt;http://www.steps.ru/product/spravochnik_inzhenera-stroitelya&gt; по охране труда;</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 изменении технологического процесса, замене оборудования, инструмента, материалов и других факторов, влияющих на безопасность труда;</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 нарушении работающими и учащимися безопасности труда, которые могут привести к травме, аварии, взрыву или пожару, отравлению;</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 требованию органов надзора;</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Внеплановый инструктаж проводит руководитель работ индивидуально или с группой работников одной профессии. Объем и содержание инструктажа определяют в каждом отдельном случае в зависимости от причин и обстоятельств, вызванных необходимостью его проведения. Внеплановый инструктаж отмечается в журнале инструктажа с указанием причин его проведения.</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Целевой инструктаж проводится:</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 выполнении разовых работ, не связанных с прямыми обязанностями работника по специальности (погрузка, выгрузка, разовые работы вне предприятия и т.п.);</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 ликвидации последствий аварии, стихийных бедствий, катастроф, на которые оформляется разрешение и другие документы.</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Целевой инструктаж проводится непосредственно руководителем работ и фиксируется в журнале инструктажей. Инструктажи завершаются устным опросом.</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Состояние охраны труда в подразделениях</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 подразделениях организации ПУП ''Миноблсантранс'' запрещено: пользование неисправными инструментами, задымленность помещений, отсутствие средств индивидуальной защиты, недостаточное освещение рабочей зоны, загрязненность рабочих мест, отсутствие вентиляции, низкая температура и высокая подвижность воздуха, повышенный уровень шума, вибрации, отсутствие средств пожаротушения или неукомплектованность пожарного щита, неудачная цветовая отделка помещения.</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Каждый работник подразделения относится с большой ответственностью к инструкциям по охране труда, в организации явные серьезные нарушения отсутствуют.</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Охрана окружающей среды</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Охрана окружающей среды на предприятии осуществляется принятием комплексных мер, они предназначены для предупреждения отрицательного воздействия человеческой деятельности предприятия на окружающую среду, все это обеспечивает безопасные условия человеческой деятельности. Также учтем развитие научно-технического прогресса, перед человечеством появилась новая задача - охрана составляющих окружающей среды (вода, земля, воздух), все это подвержено сильнейшему загрязнению выбросами и отходами и приводит к окислению воды и почвы, разрушается озоновый слой земли и происходят климатические изменения. Промышленная политика всего мира привела к таким необратимым и существенным изменениям в окружающей среде, что вопрос-охрана окружающей среды в организации стал общемировой проблемой и принудил государственные аппараты разработать долгосрочную экологическую политику по созданию внутригосударственного контроля за ПДВ.</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Основные условия для улучшения экологии: охрана запасов природного резерва, противорадиационные меры. Охрана окружающей среды на предприятии определила мероприятия по снижению уровня загрязнений:</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Выявление, оценка, постоянный контроль и ограничение выброса вредных элементов в атмосферу, а также создание технологий и техники, охраняющих и сберегающих природу и ее ресурсы.</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Разработка правовых законов, направленных на охранные меры окружающей среды и материальное стимулирование выполненных требований и профилактики комплекса природоохранных мероприятий.</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Профилактика экологической обстановки путем выделения специально отведенных территорий.</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Все нормы и правила экологической и рабочей безопасности должны быть определены и зафиксированы в определенном документе. Экологический паспорт предприятия - это комплексная статистика данных, отображающих степень пользования данным предприятием природных ресурсов и его уровню загрязнения прилегающих территорий. Экологический паспорт предприятия разрабатывается за счет компании после согласования с соответствующим уполномоченным органом и подвергается постоянной корректировке в связи с перепрофилированием, изменениями в технологии, оборудовании, материалов и т.д.</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Для правильного составления паспорта предприятия и во избежание мошенничества контролирование содержания вредных веществ в окружающей предприятие природе ведет специальная служба экологического контроля. Работники службы участвуют в заполнении и оформлении всех граф экологического паспорта, учитывая суммарное воздействие вредных выбросов в окружающую среду. При этом учитываются допустимые концентрационные уровни вредных веществ на прилегающих к предприятию территориях, воздухе, поверхностных слоях почвы и водоемов. В таблице 3.1 представлен план мероприятий по охране окружающей среды в организации ПУП ''Миноблсантранс''.</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line="360" w:lineRule="auto"/>
        <w:ind w:firstLine="709"/>
        <w:jc w:val="right"/>
        <w:rPr>
          <w:smallCaps w:val="0"/>
          <w:sz w:val="28"/>
          <w:szCs w:val="28"/>
        </w:rPr>
      </w:pPr>
      <w:r w:rsidDel="00000000" w:rsidR="00000000" w:rsidRPr="00000000">
        <w:rPr>
          <w:smallCaps w:val="0"/>
          <w:sz w:val="28"/>
          <w:szCs w:val="28"/>
          <w:rtl w:val="0"/>
        </w:rPr>
        <w:t xml:space="preserve">Таблица 3.1</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Мероприятия по охране окружающей среды в организации ПУП ''Миноблсантранс''</w:t>
      </w:r>
    </w:p>
    <w:tbl>
      <w:tblPr>
        <w:tblStyle w:val="Table4"/>
        <w:tblW w:w="950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67"/>
        <w:gridCol w:w="2337.9999999999995"/>
        <w:tblGridChange w:id="0">
          <w:tblGrid>
            <w:gridCol w:w="7167"/>
            <w:gridCol w:w="233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Мероприятие</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Срок выполнения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Заключить договор на вывоз и утилизацию отходов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течении года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Организовать лабораторный контроль содержания вредных веществ в атмосферном воздухе на границах ССЗ</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Ежеквартально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Не допускать выпуск на линию транспортных средств с превышением уровня дымности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Постоянно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Выполнять измерение дымности при каждом ТО-2 и после ремонта узлов, влияющих на дымность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Постоянно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Производить ремонт топливной аппаратуры и ДВС автомобилей с превышением уровня дымности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Постоянно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Осуществлять ремонт и стирку спецодежды</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Ежемесячно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Производить проверку дымности всех транспортных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Постоянно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Выводить из эксплуатации МТС с истекшим сроком службы</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течении года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Проведение инструктажей по охране окружающей среды</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Постоянно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Разработать проект зон санитарной охраны</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 течении года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Провести обследование системы вентиляции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Ежеквартально</w:t>
            </w:r>
          </w:p>
        </w:tc>
      </w:tr>
    </w:tbl>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ind w:left="113" w:right="170" w:firstLine="397"/>
        <w:jc w:val="both"/>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Ресурсосбережение и энергосбережение</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ресурсосбережения и энергосбережения приняли меры: обновили парк транспортных средств, повысили эффективность работы компрессорной установки, оптимизировали систему теплоснабжения, освещения, вентиляции, горячего водоснабжения, модернизировали и технически перевооружили производство на базе наукоемких ресурсо- и энергосберегающих и экологически чистых технологий, внедрили современное энергосберегающее оборудование, автоматизировали систему управления освещением, увеличили использование местных видов топлива в энергосистеме организации, усовершенствовали схемы энергоснабжения организации, использовали вторичные ресурсы и альтернативные виды топлива, в том числе горючих отходов производства, применили источники энергии с высокоэффективными термодинамическими циклами.</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таблице 4.1 представлен план по энергосбережению в организации ПУП ''Миноблсантранс''.</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line="360" w:lineRule="auto"/>
        <w:ind w:firstLine="709"/>
        <w:jc w:val="right"/>
        <w:rPr>
          <w:smallCaps w:val="0"/>
          <w:sz w:val="28"/>
          <w:szCs w:val="28"/>
        </w:rPr>
      </w:pPr>
      <w:r w:rsidDel="00000000" w:rsidR="00000000" w:rsidRPr="00000000">
        <w:rPr>
          <w:smallCaps w:val="0"/>
          <w:sz w:val="28"/>
          <w:szCs w:val="28"/>
          <w:rtl w:val="0"/>
        </w:rPr>
        <w:t xml:space="preserve">Таблица 4.1</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мероприятий по энергосбережению в организации ПУП ''Миноблсантранс''</w:t>
      </w:r>
    </w:p>
    <w:tbl>
      <w:tblPr>
        <w:tblStyle w:val="Table5"/>
        <w:tblW w:w="9504.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6"/>
        <w:gridCol w:w="1117.0000000000002"/>
        <w:gridCol w:w="1209.0000000000005"/>
        <w:gridCol w:w="1633.9999999999998"/>
        <w:gridCol w:w="1446.9999999999993"/>
        <w:gridCol w:w="1003.9999999999998"/>
        <w:gridCol w:w="1007.9999999999995"/>
        <w:tblGridChange w:id="0">
          <w:tblGrid>
            <w:gridCol w:w="2086"/>
            <w:gridCol w:w="1117.0000000000002"/>
            <w:gridCol w:w="1209.0000000000005"/>
            <w:gridCol w:w="1633.9999999999998"/>
            <w:gridCol w:w="1446.9999999999993"/>
            <w:gridCol w:w="1003.9999999999998"/>
            <w:gridCol w:w="100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Мероприятие</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Срок внедрения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Объем внедрения, ед. изм.</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Годовая экономия энергоресурсов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Электроэнергия, тыс. кВт-ч</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Теплоэнергия, Гкал</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Топливо, т.у.т.</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Всего ТЭР, т.у.т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Замена светильников на энергосберег. и оптимизация схем подключениях производственных помещениях и местах общего пользования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2017 г.</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 шт.</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15,5</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Сокращение расхода сжатого воздуха за счет проведения организационно- технических мероприятий</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Установка датчиков движения на лестницах и коридорах зданий и цехов</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 шт.</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Снижение расхода электроэнергии</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Замена энергоемкого оборудования на современное</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13,4</w:t>
            </w:r>
          </w:p>
        </w:tc>
      </w:tr>
    </w:tbl>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ind w:left="113" w:right="170" w:firstLine="397"/>
        <w:jc w:val="both"/>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Индивидуальное задание</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Технологическая карта</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Один из видов обслуживания в зоне мойки это мойка транспортного средства. Схема технологического процесса представлена на рисунке 5.1.</w:t>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5.1 - Схема технологического процесса мойки транспортного средства</w:t>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ГОСТ 3.1104-81 разработана технологическая карта мойки транспортного средства. Норма времени составила Нвр = 0,25 ч. Технологическая карта представлена в приложении А.</w:t>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Планировка подразделения</w:t>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Планировка помещения зоны мойки транспортного средства представлена в приложении Б. Планировка сделана в масштабе 1:100 на листе формата А4. Расставлено все имеющееся оборудование. На планировку составлена спецификация, в которой указаны: наименование и модель оборудования, его количество, габаритные размеры. Спецификация представлена в приложении В.</w:t>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ind w:left="113" w:right="170" w:firstLine="397"/>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Технологическая практика в организации ПУП ''Миноблсантранс'' дала понятие о работе в автотранспортной организации, о структуре его технической службы, организации ТО и ТР. Ознакомился с системой управления и организации автотранспортного предприятия.</w:t>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Получил теоретические и практические навыки по ремонту и эксплуатации автомобилей. Научился выполнять работы периодического ТО автомобилей, работы ТР, заключающиеся в замене неисправных агрегатов на новые и работы по ежедневному обслуживанию.</w:t>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Ознакомился с правилами охраны труда и окружающей среды. Узнал какие мероприятия проводят в организации для охраны окружающей среды и ресурсо- и энергосбережения.</w:t>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Закрепил знания по составлению технологических карт и планировке участков.</w: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ind w:left="113" w:right="170" w:firstLine="397"/>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использованных источников</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Типовая учебная программа «Учебная и производственная практика» компонента «Практика» типового учебного плана по специальности 2-37 01 06 Техническая эксплуатация автомобилей (по направлениям) для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Минск, 2015</w:t>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Бобылев, С.Н., Ходжаев, А.Ш. Экономика природопользования: Учебник. - М.: ИНФРА-М, 2004. - XXVI, 501 с. - (Учебники экономического факультета МГУ им. М.В. Ломоносов).</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Болбас, М.М. Проектирование предприятий автомобильного транспорта: учеб. для студентов специальности «Техн. эксплуатация автомобилей» учреждений, обеспечивающих получение высш. Образования / [М.М. Болбас и др.]; под ред. М.М. Болбаса. - Мн.; Адукация и выхаванне, 2004. - 528 с.: ил.</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Власов, В.М. Техническое обслуживание и ремонт автомобилей: Учебник для студ. учреждений сред. проф. образования / В.М. Власов, С.В. Жанказиев, С.М. Кружов и др.; Под ред. В.М. Власов. - М.: Издательский центр «Академия», 2003 - 408 с.</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Епифанов, Л.И., Епифанова, Е.А. Техническое обслуживание и ремонт автомобилей. - М.: ИД «Форум», 2009.</w:t>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Савич, Е.Л. Техническая эксплуатация автомобилей: учеб. пособие. В 3 ч. Ч.1 Теоретические основы технической эксплуатации / Е.Л. Савич, А.С. Сай - Минск: Новое знание; М.: ИНФРА-М, 2015. 427 С.:ил. - (Высшее образование).</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Савич, Е.Л. Техническая эксплуатация автомобилей: учеб. пособие. В 3 ч. Ч.2 Методы и средства диагностики и технического обслуживания автомобилей / Е.Л. Савич. - Минск: Новое знание; ИНФРА-М, 2015. - 364 с.: ил. - (Высшее образование).</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Савич, Е.Л. Техническая эксплуатация автомобилей: учеб. пособие. В 3 ч. Ч.3 Ремонт, организация, планирование, управление / Е.Л. Савич. - Минск: Новое знание; М.: ИНФРА-М, 2015. - 632 с.: ил. - (Высшее образование).</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Туревский, И.С. Техническое обслуживание автомобилей. Книга 1. Техническое обслуживание и текущий ремонт автомобилей: Учебное пособие. - М.: ФОРУМ: ИНФРА-М, 2005. - 432 с.</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Сокол, Т.С. Охрана труда. - Мн.: Дизайн ПРО, 1999 - 176 с.</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Экология и ресурсосбережение на транспорте: учебник / М.М. Болбас [и др.] под ред. М.М. Болбаса. - Минск: Адукацыя и выхаванне, 2011. - 296 с.: ил.</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ВСН 01-89. Ведомственные строительные нормы предприятий по обслуживанию автомобилей. - М.: ЦБНТИ Минавтотранса РСФСР, 1990.</w:t>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Единый тарифно-квалификационный справочник работ и профессий рабочих: В 15 т. Том 2. Выпуск 2. - Мн.: НИИ труда 2005. - 684 с.</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Каталоги по техническому обслуживанию и ремонту изучаемых автомобилей.</w:t>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Общемашиностроительные нормативы времени на слесарную обработку деталей и слесарно-сборочные работы по сборке машин и приборов в условиях массового, крупносерийного и среднесерийного типов производства. М.: Экономика, 1991. - 160 с.</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Общемашиностроительные нормативы времени на слесарную обработку деталей и слесарно-сборочные работы по сборке машин и приборов в условиях массового, мелкосерийного и единичного типов производства. - М.: Экономика, 1982. - 156 с.</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ОНТП 01-91. Общесоюзные нормы технологического проектирования предприятий автомобильного транспорта. - М.: Гипроавтотранс, 1991.</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Правила оформления дипломного и курсового проекта. МГАК, 2011.</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Табель технологического оборудования и специализированного инструмента для АТП, ПАТО и БЦТО. М.: ЦБНТИ Минавтотранса РСФСР, 1991.</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Табель технологического оборудования и специализированного инструмента для АТП, ПАТО и БЦТО. Мн.: НПО Транстехника, 1993.</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Стандарты</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21. Образовательный стандарт. Среднее специальное образование. Специальность 2-37.01.06 Техническая эксплуатация автомобилей. РД РБ 02100.4.010-2003 - Минск: Министерство образования Республики Беларусь.</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Образовательный стандарт. Среднее специальное образование. Специальность 2-37.01.06 Техническая эксплуатация автомобилей (по направлениям). Направление специальности 2-37.01.06-31 Техническая эксплуатация автомобилей (производственная деятельность). РД РБ 02100.4.010-2003 - Минск: Министерство образования Республики Беларусь.</w:t>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ТКП 132-2010 Технический кодекс установившейся практики. Обслуживание транспортных средств. Порядок проведения 01.12.2009.</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ТКП 132-2010 Технический кодекс установившейся практики. Техническое обслуживание и ремонт автомобильных транспортных средств. Нормы и правила проведения 13.05.2010.</w:t>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Гост 2.105-95. Общие требования к текстовым документам.</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