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bookmarkStart w:colFirst="0" w:colLast="0" w:name="_gjdgxs" w:id="0"/>
      <w:bookmarkEnd w:id="0"/>
      <w:r w:rsidDel="00000000" w:rsidR="00000000" w:rsidRPr="00000000">
        <w:rPr>
          <w:b w:val="0"/>
          <w:smallCaps w:val="0"/>
          <w:rtl w:val="0"/>
        </w:rPr>
        <w:t xml:space="preserve">Введение</w:t>
      </w:r>
    </w:p>
    <w:p w:rsidR="00000000" w:rsidDel="00000000" w:rsidP="00000000" w:rsidRDefault="00000000" w:rsidRPr="00000000" w14:paraId="00000004">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1. Налог на добавленную стоимость</w:t>
      </w:r>
    </w:p>
    <w:p w:rsidR="00000000" w:rsidDel="00000000" w:rsidP="00000000" w:rsidRDefault="00000000" w:rsidRPr="00000000" w14:paraId="00000005">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2. Налог на доходы с физических лиц</w:t>
      </w:r>
    </w:p>
    <w:p w:rsidR="00000000" w:rsidDel="00000000" w:rsidP="00000000" w:rsidRDefault="00000000" w:rsidRPr="00000000" w14:paraId="00000006">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3. Единый социальный налог</w:t>
      </w:r>
    </w:p>
    <w:p w:rsidR="00000000" w:rsidDel="00000000" w:rsidP="00000000" w:rsidRDefault="00000000" w:rsidRPr="00000000" w14:paraId="00000007">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4. Налог на имущество</w:t>
      </w:r>
    </w:p>
    <w:p w:rsidR="00000000" w:rsidDel="00000000" w:rsidP="00000000" w:rsidRDefault="00000000" w:rsidRPr="00000000" w14:paraId="00000008">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5. Транспортный налог</w:t>
      </w:r>
    </w:p>
    <w:p w:rsidR="00000000" w:rsidDel="00000000" w:rsidP="00000000" w:rsidRDefault="00000000" w:rsidRPr="00000000" w14:paraId="00000009">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Заключение</w:t>
      </w:r>
    </w:p>
    <w:p w:rsidR="00000000" w:rsidDel="00000000" w:rsidP="00000000" w:rsidRDefault="00000000" w:rsidRPr="00000000" w14:paraId="0000000A">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jc w:val="both"/>
        <w:rPr>
          <w:b w:val="0"/>
          <w:smallCaps w:val="0"/>
        </w:rPr>
      </w:pPr>
      <w:r w:rsidDel="00000000" w:rsidR="00000000" w:rsidRPr="00000000">
        <w:rPr>
          <w:b w:val="0"/>
          <w:smallCaps w:val="0"/>
          <w:rtl w:val="0"/>
        </w:rPr>
        <w:t xml:space="preserve">Список использованной литературы</w:t>
      </w:r>
    </w:p>
    <w:p w:rsidR="00000000" w:rsidDel="00000000" w:rsidP="00000000" w:rsidRDefault="00000000" w:rsidRPr="00000000" w14:paraId="0000000B">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b w:val="0"/>
          <w:smallCaps w:val="0"/>
        </w:rPr>
      </w:pPr>
      <w:r w:rsidDel="00000000" w:rsidR="00000000" w:rsidRPr="00000000">
        <w:rPr>
          <w:rtl w:val="0"/>
        </w:rPr>
      </w:r>
    </w:p>
    <w:p w:rsidR="00000000" w:rsidDel="00000000" w:rsidP="00000000" w:rsidRDefault="00000000" w:rsidRPr="00000000" w14:paraId="0000000C">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0D">
      <w:pPr>
        <w:pStyle w:val="Heading1"/>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в ходе практики является открытое акционерное общество «Фававто трейд». В соответствии с Уставом, основным видом деятельности предприятия является организация грузовых перевозок.</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 исследования – действующая система налогообложения на предприятии ОАО «Фававто».</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практики является изучение и критическая оценка системы налогообложения на предприятии, определение направлений ее совершенствования. Для достижения поставленной цели в ходе практики необходимо решить ряд задач:</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дать организационно – экономическую характеристику предприятия;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проанализировать финансовое состояние предприятия;</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рассмотреть особенности налогообложения предприятия;</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определить направление исследования в дипломной работе.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разработать мероприятия, направленные на оптимизацию налогообложения.</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изучались нормативно-правовые акты, регулирующие налогообложение в РФ (в первую очередь - Налоговый кодекс РФ), статистическая отчетность Министерства по налогам и сборам РФ и публикации в периодической печати. </w:t>
      </w:r>
    </w:p>
    <w:p w:rsidR="00000000" w:rsidDel="00000000" w:rsidP="00000000" w:rsidRDefault="00000000" w:rsidRPr="00000000" w14:paraId="00000017">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30j0zll" w:id="1"/>
      <w:bookmarkEnd w:id="1"/>
      <w:r w:rsidDel="00000000" w:rsidR="00000000" w:rsidRPr="00000000">
        <w:rPr>
          <w:smallCaps w:val="0"/>
          <w:rtl w:val="0"/>
        </w:rPr>
        <w:t xml:space="preserve">Общая характеристика налогообложение в ОАО «Фававто»</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Налоги представляют собой обязательные сборы, взимаемые государством с хозяйствующих субъёктов и с граждан по ставке, установленной в законодательном порядке.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Объектами налогообложения являются:</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прибыль (доход);</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стоимость отдельных товаров;</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добавленная стоимость продукции;</w:t>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 имущество юридических и физических лиц;</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продажа имущества;</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операции с ценными бумагами;</w:t>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 другие объекты установленные законом.</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методу устанавливается, налоги подразделяются на прямые и косвенные.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прямым относят:</w:t>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налог на доходы с физических лиц;</w:t>
      </w:r>
    </w:p>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налог на прибыль;</w:t>
      </w:r>
    </w:p>
    <w:p w:rsidR="00000000" w:rsidDel="00000000" w:rsidP="00000000" w:rsidRDefault="00000000" w:rsidRPr="00000000" w14:paraId="00000025">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ресурсные платежи;</w:t>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налог на имущество, владение и пользование которыми служат основанием для обложения.</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Косвенные налоги вытекают из хозяйственных актов и оборотов, финансовых операции (налог на добавленную стоимость, акцизы, таможенные пошлины, налог на операции с ценными бумагами).</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 Фававто» уплачивает следующие виды налогов: НДС (налог на добавленную стоимость), НДФЛ (налог на доходы с физических лиц), налог на имущество, единый социальный налог, транспортный налог.</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конкретно каждый налог.</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1fob9te" w:id="2"/>
      <w:bookmarkEnd w:id="2"/>
      <w:r w:rsidDel="00000000" w:rsidR="00000000" w:rsidRPr="00000000">
        <w:br w:type="page"/>
      </w:r>
      <w:r w:rsidDel="00000000" w:rsidR="00000000" w:rsidRPr="00000000">
        <w:rPr>
          <w:smallCaps w:val="0"/>
          <w:rtl w:val="0"/>
        </w:rPr>
        <w:t xml:space="preserve">1. Налог на добавленную стоимость</w:t>
      </w:r>
    </w:p>
    <w:p w:rsidR="00000000" w:rsidDel="00000000" w:rsidP="00000000" w:rsidRDefault="00000000" w:rsidRPr="00000000" w14:paraId="0000002C">
      <w:pPr>
        <w:pStyle w:val="Heading1"/>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наиболее распространенных косвенных налогов на товары и услуги является НДС(2-я часть, глава 25 налогового кодекса РФ). Документом уплаты в налоговый орган НДС является: «Расчет (налоговая декларация) по НДС». (Приложение 64). В ОАО « Фававто» осуществляются ежемесячные платежи, т.е. налог уплачивается исходя из фактических оборотов за месяц, не позднее 20-го числа месяца следующего за отчетным месяцем. Расчеты по НДС составляются на основании регистров бухгалтерского учета по заготовке материальных ценностей, реализации продукции (работ, услуг) и др. активов, а также данные об оборотах по реализации продукции (работ, услуг), отраженных по счету 90.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НДС, уплаченная при приобретении основных средств, в полном объёме вычитается из сумм налога, подлежащих к уплате в бюджет в момент принятия основных средств на учет. Из общей налогооблагаемой суммы подлежащей перечислению в бюджет нельзя исключить налоги уплачиваемые:</w:t>
      </w:r>
    </w:p>
    <w:p w:rsidR="00000000" w:rsidDel="00000000" w:rsidP="00000000" w:rsidRDefault="00000000" w:rsidRPr="00000000" w14:paraId="0000002F">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 товарам, используемым на непроизводственные нужды, включая служебные легковые автомобили и микроавтобусы</w:t>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 товарам, используемым на осуществление операций освобожденных от налога согласно, утвержденным листом, при этом сумма налога, уплаченная поставщикам, поданным товарам относят на издержки производства и обращения. </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 основным средствам и материальным активам, если они приобретены за счет средств из бюджета, а также по вводимым в эксплуатацию завершенным капитальным строительствам.</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суммы налогов, которые были уплачены поставщикам, относят на увеличение балансовой стоимости.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Ставки налога на добавленную стоимость дифференцируется в зависимости от видов товаров, работ, услуг. 10%- применяется при реализации продовольственных товаров; 18%- по всем остальным товарам и услугам.</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оформлении расчетных документов, предъявляемых покупателям на реализуемые товары, сумма НДС выделяется отдельной строкой. В счетные документы, в которых не выделена сумма налога, учреждениями банков не должны приниматься к использованию. В случае частичной оплаты расчетных документов, в которых был выделен налог, соответственно, уменьшаются суммы, причитающиеся поставщику.</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НДС, подлежащая взносу в бюджет, определяется как разница между суммами налога, полученного от покупателей за реализованные им товары и суммами налога по материальным ресурсам, топливу, работам и др., стоимость которых списана в отчетном периоде на издержки производства и обращения.</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к зачету или возмещению из бюджета определяется вычитанием из суммы НДС по оприходованным оплаченным ценностям, подлежащих списанию со счета 19 «налог на добавленную стоимость по приобретенным ценностям» В дебет счета 68 «расчеты с бюджетом».</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8">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3znysh7" w:id="3"/>
      <w:bookmarkEnd w:id="3"/>
      <w:r w:rsidDel="00000000" w:rsidR="00000000" w:rsidRPr="00000000">
        <w:rPr>
          <w:smallCaps w:val="0"/>
          <w:rtl w:val="0"/>
        </w:rPr>
        <w:t xml:space="preserve">2. Налог на доходы с физических лиц</w:t>
      </w:r>
    </w:p>
    <w:p w:rsidR="00000000" w:rsidDel="00000000" w:rsidP="00000000" w:rsidRDefault="00000000" w:rsidRPr="00000000" w14:paraId="00000039">
      <w:pPr>
        <w:pStyle w:val="Heading1"/>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1.01.2010г. существенно изменился порядок исчисления и уплаты подоходного налога с физических лиц. Изменения внесены ФЗ от 25.11.99.г. №207-ФЗ «О внесении изменений в Закон «О подоходном налоге с физических лиц» (далее Закон №207 ФЗ). Теперь подоходный налог исчисляется по новой шкале ставок. Кроме того, установлены льготы, по этому налогу, а также изменен перечень условии, при которых предоставляются вычеты из совокупного дохода физических лиц. Как известно в 1999 году действовала пяти уровневая система ставок подоходного налога. С 1.01.2000 года налог удерживается по трех уровневой шкале. Если в 2002 году минимальная ставка применялась к доходам, совокупный размер которых не превышает 30000 рублей за отчетный период. То теперь по минимальной ставке облагаются доходы до 50000 рублей (от 50000 до 150000), налог будет удерживаться по ставке 20%.При более 150000 рублей, будет применяться ставка налога в размере 30%. Если раньше в Федеральный бюджет уплачивалось 3% от облагаемых годовых доходов, то сейчас 16%.</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Исчисление налога производится с начала календарного года, по истечении каждого месяца с суммы совокупного дохода уменьшаемого на:</w:t>
      </w:r>
    </w:p>
    <w:p w:rsidR="00000000" w:rsidDel="00000000" w:rsidP="00000000" w:rsidRDefault="00000000" w:rsidRPr="00000000" w14:paraId="0000003C">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до месяца, в котором доход, исчисленный нарастающим итогом с начала года не превысил 15000 руб. на 2 МРОТ;</w:t>
      </w:r>
    </w:p>
    <w:p w:rsidR="00000000" w:rsidDel="00000000" w:rsidP="00000000" w:rsidRDefault="00000000" w:rsidRPr="00000000" w14:paraId="0000003D">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начиная с месяца, в котором доход, исчисленный нарастающим итогом, превысил 15000 руб. и до месяца, в котором доход превысил 50000 руб. на 1 МРОТ;</w:t>
      </w:r>
    </w:p>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начиная с месяца, в котором доход, исчисленный нарастающим итогом и с начала года, превысил 50000 руб., уменьшения не производится.</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таком же порядке в 2014 году предоставляются вычеты на содержание детей и иждивенцев. По окончании года производится пересчет налога исходя из сумм составляющих совокупный доход физического лица и полученный им в течение календарного года.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4508"/>
        </w:tabs>
        <w:spacing w:line="360" w:lineRule="auto"/>
        <w:ind w:firstLine="709"/>
        <w:jc w:val="both"/>
        <w:rPr>
          <w:smallCaps w:val="0"/>
          <w:sz w:val="28"/>
          <w:szCs w:val="28"/>
        </w:rPr>
      </w:pPr>
      <w:r w:rsidDel="00000000" w:rsidR="00000000" w:rsidRPr="00000000">
        <w:rPr>
          <w:smallCaps w:val="0"/>
          <w:sz w:val="28"/>
          <w:szCs w:val="28"/>
          <w:rtl w:val="0"/>
        </w:rPr>
        <w:t xml:space="preserve">ОАО Агрофирма « Фававто» по истечении отчетного периода, но не позднее срока получения в банке средств на оплату труда, обязана перечислить в бюджет сумму начисленного и удержанного с граждан за отчетный период налога. А учет по налогу ведется в «карточке по учету доходов и расходов и налога на доходы с физических лиц».</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2">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2et92p0" w:id="4"/>
      <w:bookmarkEnd w:id="4"/>
      <w:r w:rsidDel="00000000" w:rsidR="00000000" w:rsidRPr="00000000">
        <w:rPr>
          <w:smallCaps w:val="0"/>
          <w:rtl w:val="0"/>
        </w:rPr>
        <w:t xml:space="preserve">3. Единый социальный налог</w:t>
      </w:r>
    </w:p>
    <w:p w:rsidR="00000000" w:rsidDel="00000000" w:rsidP="00000000" w:rsidRDefault="00000000" w:rsidRPr="00000000" w14:paraId="00000043">
      <w:pPr>
        <w:pStyle w:val="Heading1"/>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налогообложения является организации и индивидуальные предприниматели, объектом признаются все виды выплат и иные вознаграждения, начисляемые в пользу физического лица по трудовым и гражданским правовым договорам. При определении налоговой базы учитываются выплаты и вознаграждения.</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налога ведется в «Расчете по авансовым платежам по единому социальному налогу для лиц, производящих выплаты физическим лицам: организаций; индивидуальных предпринимателей; физических лиц, не признаваемых индивидуальными предпринимателями» (Приложение 66), подается не позднее 20 числа месяца следующего за отчетным периодом.</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Налоговая декларация по единому социальному налогу для лиц, производящих выплаты физическим лицам: организаций; индивидуальных предпринимателей; физических лиц, не признаваемых индивидуальными предпринимателями» (Приложение № 65), представляется не позднее 30 марта года, следующего за истекшим налоговым периодом.</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Налоговым периодом признается календарный год, отчетным периодом является 1 квартал, полугодие, 9 месяцев, календарный год. Уплата ежемесячных платежей производится не позднее срока 15 числа следующего месяца. Индивидуальные предприниматели и адвокаты тоже должны оплачивать свои платежи. Расчет сумм ежеквартальных платежей производится по декларации, где указаны, предполагаемые доходы и расходы.</w:t>
      </w:r>
    </w:p>
    <w:p w:rsidR="00000000" w:rsidDel="00000000" w:rsidP="00000000" w:rsidRDefault="00000000" w:rsidRPr="00000000" w14:paraId="00000048">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tyjcwt" w:id="5"/>
      <w:bookmarkEnd w:id="5"/>
      <w:r w:rsidDel="00000000" w:rsidR="00000000" w:rsidRPr="00000000">
        <w:rPr>
          <w:smallCaps w:val="0"/>
          <w:rtl w:val="0"/>
        </w:rPr>
        <w:t xml:space="preserve">Пенсионный фонд.</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на социальные нужды производятся хозяйством в обязательном порядке в соответствии с законодательством, органом Фонда социального страхования РФ, Пенсионный фонд РФ и Федеральный фонд обязательного медицинского страхования. Начисления производятся исходя из затрат на оплату труда работников, включенных в себестоимость продукции, кроме тех видов оплат на которые страховые взносы не начисляются.</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в пенсионный фонд производят как за счет себестоимости продукции, так и за счет отчислений из зарплаты работников. Страховые взносы начисляются на виды оплаты труда, как в денежном, так и в натуральном выражении по всем видам авансам, в том числе на вознаграждение за выполненные работы по договорам подряда и поручения.</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январе 2000 года принят Федеральный закон «О внесении изменений и дополнений в порядок уплаты страховых взносов работниками и гражданами в Пенсионный фонд РФ», утвержден постановлением Верховного совета РФ от 27.12.91. №2122-1.</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новым редактированным ФЗ, отчисления страховых взносов осуществляется непосредственно перед тем, как получить в банке или иных кредитных организациях средства для выплаты зарплаты работникам. Как выяснилось, Агрофирма « Фававто» не всегда придерживается этому правилу, т.к. не всегда на расчетном счету имеется свободные деньги.</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Хозяйство обязано произвести окончательный расчет по платежам в Пенсионный фонд РФ не позднее 15 числа месяца, следующего за месяцем, за который начислены страховые взносы.</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учета взносов в Пенсионный фонд РФ составляется расчетная ведомость по страховым взносам в Пенсионный фонд РФ. В расчетной ведомости отражают данные о размере страховых, начисленных и уплаченных в Пенсионный фонд РФ.</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Расчетная ведомость (Приложение 65) составляется в двух экземплярах и в течение 30 дней после окончания квартала представляется в территориальное отделение Пенсионного фонда РФ по месту регистрации хозяйства.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экземпляр расчетной ведомости храниться в территориальном отделении Пенсионного фонда РФ. Второй экземпляр храниться в течение 4 лет в хозяйстве. Все суммы в расчетной ведомости указываются в рублях без копеек.</w:t>
      </w:r>
    </w:p>
    <w:p w:rsidR="00000000" w:rsidDel="00000000" w:rsidP="00000000" w:rsidRDefault="00000000" w:rsidRPr="00000000" w14:paraId="00000051">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3dy6vkm" w:id="6"/>
      <w:bookmarkEnd w:id="6"/>
      <w:r w:rsidDel="00000000" w:rsidR="00000000" w:rsidRPr="00000000">
        <w:rPr>
          <w:smallCaps w:val="0"/>
          <w:rtl w:val="0"/>
        </w:rPr>
        <w:t xml:space="preserve">Фонд обязательного медицинского страхования.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Страховые взносы в фонд обязательного медицинского страхования начисляют исходя из начисленной оплаты труда по всем основаниям, в денежной и натуральной форме. В том числе и по договорам подряда и поручения, из которой осуществляются отчисления на государственные социальное страхование. Взносы начисляются на оплаты – предназначенные для оплаты труда, без вычета соответствующих налогов в суммах, округленных до нулей.</w:t>
      </w:r>
      <w:r w:rsidDel="00000000" w:rsidR="00000000" w:rsidRPr="00000000">
        <w:rPr>
          <w:smallCaps w:val="0"/>
          <w:rtl w:val="0"/>
        </w:rPr>
        <w:t xml:space="preserve"> </w:t>
      </w:r>
      <w:r w:rsidDel="00000000" w:rsidR="00000000" w:rsidRPr="00000000">
        <w:rPr>
          <w:smallCaps w:val="0"/>
          <w:color w:val="ffffff"/>
          <w:sz w:val="28"/>
          <w:szCs w:val="28"/>
          <w:rtl w:val="0"/>
        </w:rPr>
        <w:t xml:space="preserve">налог доход социальный платеж</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Платежи начисляются ежеквартально, и оформляется по РТ «Расчетная ведомость по взносам на обязательное медицинское страхование в территориальную больничную кассу РТ.</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Расчетная ведомость предоставляется плательщиками до 15 числа следующего за отчетным периодом месяца. Тариф страховых взносов в Фонд обязательного медицинского страхования составляет 1,1%. Взносы отражаются по кредиту счета 69 счбсчет3 «Расчеты по медицинскому страхованию».</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Расчетная ведомость составляется в двух экземплярах и в течение 30 дней после окончания квартала представляется в территориальный фонд обязательного медицинского страхования. Первый экземпляр расчетной ведомости остается в территориальном Фонде, а второй храниться в течение 4 лет в бухгалтерии хозяйства. </w:t>
      </w:r>
    </w:p>
    <w:p w:rsidR="00000000" w:rsidDel="00000000" w:rsidP="00000000" w:rsidRDefault="00000000" w:rsidRPr="00000000" w14:paraId="00000056">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1t3h5sf" w:id="7"/>
      <w:bookmarkEnd w:id="7"/>
      <w:r w:rsidDel="00000000" w:rsidR="00000000" w:rsidRPr="00000000">
        <w:rPr>
          <w:smallCaps w:val="0"/>
          <w:rtl w:val="0"/>
        </w:rPr>
        <w:t xml:space="preserve">Фонд социального страхования.</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Социальное страхование распространяется на все категории трудящихся независимо от места их работы должности, является обязательным и осуществляется за счет взносов.</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Страховой тариф взносов 1,9%. Средства фонда используют для выплат всем работникам независимо от того, является ли они членами профсоюза.</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в фонд социального страхования относятся на себестоимость продукции, если она начисляется на выплаты, включаемые в себестоимость продукции. Расчетная ведомость представляется ежеквартально в исполнительный орган Фонда социального страхования за отчетным кварталом месяцем. 6.01.2000 года, вступил в силу новые законы, касающиеся обязательного страхования от несчастных случаев на производстве и др.</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Областной базой является зарплата и другие выплаты. При этом затраты по уплате страховых взносов на социальное страхование от несчастных случаев на производстве и профессиональных заболевании относят на себестоимость продукции, но при условии, что сами выплаты на которые начисляются указанные страховые взносы, относят на себестоимость продукции. В связи с введением дополнительных страховых взносов Фонд социального страхования РФ утверждена новая форма расчетной ведомости.</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Теперь страховые взносы в Фонд социального страхования РФ перечисляются двумя платежными поручениями:</w:t>
      </w:r>
    </w:p>
    <w:p w:rsidR="00000000" w:rsidDel="00000000" w:rsidP="00000000" w:rsidRDefault="00000000" w:rsidRPr="00000000" w14:paraId="0000005C">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 социальное страхование по тарифам, утвержденным Федеральным законом от 20.11.1999.года №197-ФЗ (1,9%);</w:t>
      </w:r>
    </w:p>
    <w:p w:rsidR="00000000" w:rsidDel="00000000" w:rsidP="00000000" w:rsidRDefault="00000000" w:rsidRPr="00000000" w14:paraId="0000005D">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на социальное страхование от несчастных случаев на производстве и профессиональных заболевании (0,3%).</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суммы расчетной ведомости указываются в полных рублях, без копеек.</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со статьей 2 ФЗ от 2.01.2000 года №16-ФЗ в 2000 году хозяйствам не устанавливается скидки к тарифным ставкам от несчастных случаев профессиональных заболеваний.</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1">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4d34og8" w:id="8"/>
      <w:bookmarkEnd w:id="8"/>
      <w:r w:rsidDel="00000000" w:rsidR="00000000" w:rsidRPr="00000000">
        <w:rPr>
          <w:smallCaps w:val="0"/>
          <w:rtl w:val="0"/>
        </w:rPr>
        <w:t xml:space="preserve">4. Налог на имущество</w:t>
      </w:r>
    </w:p>
    <w:p w:rsidR="00000000" w:rsidDel="00000000" w:rsidP="00000000" w:rsidRDefault="00000000" w:rsidRPr="00000000" w14:paraId="00000062">
      <w:pPr>
        <w:pStyle w:val="Heading1"/>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осуществления финансово-хозяйственной деятельности « Фававто» имеет на своем балансе имущество: машины и оборудования. Здания и сооружения на балансе хозяйства не числятся, т.к. являются арендованным имуществом, также и с землей поэтому налог на землю не платят. От правильности оценки и исчисления среднегодовой стоимости ценностей зависит полнота расчетов хозяйства с бюджетом по налогу на имущество, т.е. размер налогооблагаемой базы и суммы налога на имущество.</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Ставка налога имущество составляет в « Фававто» 0,10%. Сумма платежей определяется ежеквартально с нарастающим итогом с начала года. Для сдачи отчетности в налоговый орган формируется налоговая декларация по налогу на имущество организаций (Приложение 67).</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исчислении налога на имущество основные средства, нематериальные активы, (порядок начисления амортизации по ним был описан до этого). Для целей налогообложения определяется среднегодовая стоимость имущества хозяйства за отчетный период. Она определяется путем деления на 4,7,10,13 (в зависимости от отчетного периода) суммы полученной от сложения стоимости имущества на 1января отчетного периода и на 1 число месяца следующего за отчетным периодом. Далее среднегодовая стоимость имущества делится на 4 квартала в году и умножается на налоговую ставку 0,10%. Итог и будет авансовый платеж за квартал.</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рассмотрим расчет налога на имущество за 1 полугодие 2007 года в ОАО « Фававто»:</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имущества на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01.01.07 – 81869100</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01.02.07 – 80969100</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01.03.07 – 80069100</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01.04.07 – 89156100</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01.05.07 – 88132242</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01.06.07 – 87187194</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01.07.07 – 86435529</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действие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81869100+80969100+80069100+89156100+88132242+87187194+86435529 /7=84831195</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действие 84831195 / 4 = 21207799</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действие 21207799 * 0,10%= 21208</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декларации такая же сумма к уплате, значит, расчет произведен правильно.</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2s8eyo1" w:id="9"/>
      <w:bookmarkEnd w:id="9"/>
      <w:r w:rsidDel="00000000" w:rsidR="00000000" w:rsidRPr="00000000">
        <w:rPr>
          <w:smallCaps w:val="0"/>
          <w:rtl w:val="0"/>
        </w:rPr>
        <w:t xml:space="preserve">5. Транспортный налог</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учетной политики ОАО « Фававто» транспортный налог исчисляется на основании Федерального закона №131-ФЗ от 20.10.05 г. гл. 28 «Транспортный налог» НК РФ. Агрофирма начисляет и уплачивают ежеквартально авансовые платежи по этому налогу (Приложение 68). Данным налогом облагаются транспортные средства, которые в установленном порядке подлежат регистрации автоинспекции. Суммы платежей включаются в состав затрат по производству и реализации продукции, выполненным работам и предоставленных платежей. В « Фававто» в 2014 году налоговую базу составляют 20 транспортных средств. Тарифные ставки для каждого транспортного средства индивидуальны и зависят от мощности автомобиля, их берут из методических рекомендаций. В конце года по транспортному налогу составляется налоговая декларация и корректируется сумма оплаченных и начисленных сумм налога.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B">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bookmarkStart w:colFirst="0" w:colLast="0" w:name="_17dp8vu" w:id="10"/>
      <w:bookmarkEnd w:id="10"/>
      <w:r w:rsidDel="00000000" w:rsidR="00000000" w:rsidRPr="00000000">
        <w:br w:type="page"/>
      </w:r>
      <w:r w:rsidDel="00000000" w:rsidR="00000000" w:rsidRPr="00000000">
        <w:rPr>
          <w:smallCaps w:val="0"/>
          <w:rtl w:val="0"/>
        </w:rPr>
        <w:t xml:space="preserve">Заключение</w:t>
      </w:r>
    </w:p>
    <w:p w:rsidR="00000000" w:rsidDel="00000000" w:rsidP="00000000" w:rsidRDefault="00000000" w:rsidRPr="00000000" w14:paraId="0000007C">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показало исследование, в ОАО «Фававто» используется общая система налогообложения. Предприятие является плательщиком Налога на прибыль организаций, Налога на добавленную стоимость, Налога на имущество, Транспортного налога, Налога на доходы физических лиц и Единого социального налога. Анализ действующей в ОАО «Фававто» системы налогообложения показал, что в исследуемом предприятии практически не используются предусмотренные налоговым законодательством методы минимизации налогообложения.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минимизации налога на прибыль ОАО «Фававто» рекомендуется:</w:t>
      </w:r>
    </w:p>
    <w:p w:rsidR="00000000" w:rsidDel="00000000" w:rsidP="00000000" w:rsidRDefault="00000000" w:rsidRPr="00000000" w14:paraId="0000007F">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 целях налогообложения прибыли использовать нелинейный метод начисления амортизации, который позволит произвести списание основных средств более быстрыми темпами, чем при использовании линейного метода;</w:t>
      </w:r>
    </w:p>
    <w:p w:rsidR="00000000" w:rsidDel="00000000" w:rsidP="00000000" w:rsidRDefault="00000000" w:rsidRPr="00000000" w14:paraId="00000080">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предусмотреть в учетной политике применение механизма амортизационной премии;</w:t>
      </w:r>
    </w:p>
    <w:p w:rsidR="00000000" w:rsidDel="00000000" w:rsidP="00000000" w:rsidRDefault="00000000" w:rsidRPr="00000000" w14:paraId="00000081">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предусмотреть создание резерва по сомнительным долгам, это приведет к тому, что налогооблагаемая прибыль будет снижена на сумму резерва и налог на прибыль также будет меньше.</w:t>
        <w:tab/>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«Фававто» было рекомендовано производить вычеты по НДС в части оплаченных командировочных расходов и горюче-смазочных материалов, приобретенных за наличный расчет на автозаправочных станциях. В общей сумме данные вычеты имеют довольно значительный размер, и исследуемое предприятие в 2014 г. фактически не использовало возможность более эффективного использования данных денежных средств.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целью оптимизации налога на имущество ОАО «Фававто» можно порекомендовать начислять амортизацию основных средств методом уменьшаемого остатка с использованием повышающего коэффициента. Учетной политикой нужно предусмотреть переоценку объектов основных средств, при этом целесообразно выбирать метод переоценки, позволяющий снизить балансовую и остаточную стоимость. Уценка основного средства пропорционально снизит сумму налога на имущество и поэтому целесообразна к применению.</w:t>
      </w:r>
    </w:p>
    <w:p w:rsidR="00000000" w:rsidDel="00000000" w:rsidP="00000000" w:rsidRDefault="00000000" w:rsidRPr="00000000" w14:paraId="00000084">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sz w:val="28"/>
          <w:szCs w:val="28"/>
        </w:rPr>
      </w:pPr>
      <w:bookmarkStart w:colFirst="0" w:colLast="0" w:name="_3rdcrjn" w:id="11"/>
      <w:bookmarkEnd w:id="11"/>
      <w:r w:rsidDel="00000000" w:rsidR="00000000" w:rsidRPr="00000000">
        <w:rPr>
          <w:rtl w:val="0"/>
        </w:rPr>
      </w:r>
    </w:p>
    <w:p w:rsidR="00000000" w:rsidDel="00000000" w:rsidP="00000000" w:rsidRDefault="00000000" w:rsidRPr="00000000" w14:paraId="00000085">
      <w:pPr>
        <w:pStyle w:val="Heading2"/>
        <w:keepNext w:val="0"/>
        <w:widowControl w:val="0"/>
        <w:pBdr>
          <w:top w:space="0" w:sz="0" w:val="nil"/>
          <w:left w:space="0" w:sz="0" w:val="nil"/>
          <w:bottom w:space="0" w:sz="0" w:val="nil"/>
          <w:right w:space="0" w:sz="0" w:val="nil"/>
          <w:between w:space="0" w:sz="0" w:val="nil"/>
        </w:pBdr>
        <w:shd w:fill="auto" w:val="clear"/>
        <w:spacing w:after="0" w:before="0" w:lineRule="auto"/>
        <w:ind w:firstLine="709"/>
        <w:jc w:val="both"/>
        <w:rPr>
          <w:smallCaps w:val="0"/>
        </w:rPr>
      </w:pPr>
      <w:r w:rsidDel="00000000" w:rsidR="00000000" w:rsidRPr="00000000">
        <w:br w:type="page"/>
      </w:r>
      <w:r w:rsidDel="00000000" w:rsidR="00000000" w:rsidRPr="00000000">
        <w:rPr>
          <w:smallCaps w:val="0"/>
          <w:rtl w:val="0"/>
        </w:rPr>
        <w:t xml:space="preserve">Список использованной литературы</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87">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Налоговый кодекс РФ (с изменениями от 30 марта 2008 г.)</w:t>
      </w:r>
    </w:p>
    <w:p w:rsidR="00000000" w:rsidDel="00000000" w:rsidP="00000000" w:rsidRDefault="00000000" w:rsidRPr="00000000" w14:paraId="00000088">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Бушмелева Н.В. Учет налога на прибыль // Международный бухгалтерский учет. – 2007. - № 2. – С. 35-36</w:t>
      </w:r>
    </w:p>
    <w:p w:rsidR="00000000" w:rsidDel="00000000" w:rsidP="00000000" w:rsidRDefault="00000000" w:rsidRPr="00000000" w14:paraId="00000089">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Гаврилова Н.А. О транспортном налоге и налоге на имущество организаций // Налоговый вестник. – 2007. - № 6. – С. 22-24</w:t>
      </w:r>
    </w:p>
    <w:p w:rsidR="00000000" w:rsidDel="00000000" w:rsidP="00000000" w:rsidRDefault="00000000" w:rsidRPr="00000000" w14:paraId="0000008A">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Дуканич Л.В. Налоги и налогообложение. Учеб. пособие. - Ростов-на-Дону: Феникс, 2000. – 357 с.</w:t>
      </w:r>
    </w:p>
    <w:p w:rsidR="00000000" w:rsidDel="00000000" w:rsidP="00000000" w:rsidRDefault="00000000" w:rsidRPr="00000000" w14:paraId="0000008B">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Карпова Н.В. Налог на имущество организаций. На что налогоплательщикам нужно обратить внимание при проверке? – 2007. - № 4. – С. 15-18</w:t>
      </w:r>
    </w:p>
    <w:p w:rsidR="00000000" w:rsidDel="00000000" w:rsidP="00000000" w:rsidRDefault="00000000" w:rsidRPr="00000000" w14:paraId="0000008C">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Малявкина Л.И. Налоговый учет доходов и расходов. – М.: Вершина, 2006. – 276 с.</w:t>
      </w:r>
    </w:p>
    <w:p w:rsidR="00000000" w:rsidDel="00000000" w:rsidP="00000000" w:rsidRDefault="00000000" w:rsidRPr="00000000" w14:paraId="0000008D">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Медведев А.Н. Как планировать налоговые платежи. - М.: ИНФРА-М, 2008. – 417 с.</w:t>
      </w:r>
    </w:p>
    <w:p w:rsidR="00000000" w:rsidDel="00000000" w:rsidP="00000000" w:rsidRDefault="00000000" w:rsidRPr="00000000" w14:paraId="0000008E">
      <w:pPr>
        <w:widowControl w:val="0"/>
        <w:numPr>
          <w:ilvl w:val="0"/>
          <w:numId w:val="7"/>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Налоги и налогообложение. Учеб. пособие / Под ред. Н.Г. Русаковой, В.А. Кашина - М.: ЮНИТИ, 2007. – 546 с.</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9.</w:t>
        <w:tab/>
        <w:t xml:space="preserve">Налоги, налогообложение и налоговое законодательство / Под ред. Е.Н. Евстигнеева. - СПб: Питер, 2006. – 415 с.</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10.</w:t>
        <w:tab/>
        <w:t xml:space="preserve">Налоговое планирование / Под ред. М. Романовского, Е. Вылковой - СПб: Питер, 2008. – 645 с.</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134"/>
        </w:tabs>
        <w:spacing w:line="360" w:lineRule="auto"/>
        <w:jc w:val="both"/>
        <w:rPr>
          <w:smallCaps w:val="0"/>
          <w:sz w:val="28"/>
          <w:szCs w:val="28"/>
        </w:rPr>
      </w:pPr>
      <w:r w:rsidDel="00000000" w:rsidR="00000000" w:rsidRPr="00000000">
        <w:rPr>
          <w:smallCaps w:val="0"/>
          <w:sz w:val="28"/>
          <w:szCs w:val="28"/>
          <w:rtl w:val="0"/>
        </w:rPr>
        <w:t xml:space="preserve">11.</w:t>
        <w:tab/>
        <w:t xml:space="preserve">Николаева О.Н. ЕСН: возможности оптимизации// Экономика и жизнь. – 2004. – № 3. – С. 8-11.</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12.</w:t>
        <w:tab/>
        <w:t xml:space="preserve">Пирогова Г.В., Павлова Л.П. Об учете в целях налогообложения прибыли // Налоговый вестник. – 2007. - № 5. – С. 19-21</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13.</w:t>
        <w:tab/>
        <w:t xml:space="preserve">Хороший О.Д. Обсуждаем проблемы исчисления налога на прибыль // Российский налоговый курьер. – 2007. - № 14. – С. 35-38</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360" w:lineRule="auto"/>
      <w:jc w:val="center"/>
    </w:pPr>
    <w:rPr>
      <w:b w:val="1"/>
      <w:smallCaps w:val="0"/>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360" w:lineRule="auto"/>
      <w:jc w:val="center"/>
    </w:pPr>
    <w:rPr>
      <w:b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