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640" w:before="0" w:line="288" w:lineRule="auto"/>
        <w:rPr>
          <w:b w:val="1"/>
          <w:color w:val="0a0a0a"/>
          <w:sz w:val="60"/>
          <w:szCs w:val="60"/>
        </w:rPr>
      </w:pPr>
      <w:bookmarkStart w:colFirst="0" w:colLast="0" w:name="_hn3yccr7nqcz" w:id="0"/>
      <w:bookmarkEnd w:id="0"/>
      <w:r w:rsidDel="00000000" w:rsidR="00000000" w:rsidRPr="00000000">
        <w:rPr>
          <w:b w:val="1"/>
          <w:color w:val="0a0a0a"/>
          <w:sz w:val="60"/>
          <w:szCs w:val="60"/>
          <w:rtl w:val="0"/>
        </w:rPr>
        <w:t xml:space="preserve">Дневник производственной практики в банке, заполненный по дням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220.0" w:type="pct"/>
        <w:tblBorders>
          <w:top w:color="000000" w:space="0" w:sz="6" w:val="single"/>
          <w:left w:color="000000" w:space="0" w:sz="6" w:val="single"/>
          <w:bottom w:color="000000" w:space="0" w:sz="0" w:val="nil"/>
          <w:right w:color="000000" w:space="0" w:sz="0" w:val="nil"/>
        </w:tblBorders>
        <w:tblLayout w:type="fixed"/>
        <w:tblLook w:val="0600"/>
      </w:tblPr>
      <w:tblGrid>
        <w:gridCol w:w="1815"/>
        <w:gridCol w:w="4485"/>
        <w:gridCol w:w="2550"/>
        <w:tblGridChange w:id="0">
          <w:tblGrid>
            <w:gridCol w:w="1815"/>
            <w:gridCol w:w="4485"/>
            <w:gridCol w:w="2550"/>
          </w:tblGrid>
        </w:tblGridChange>
      </w:tblGrid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Содержание работ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Подпись руководителя практики</w:t>
            </w:r>
          </w:p>
        </w:tc>
      </w:tr>
      <w:tr>
        <w:trPr>
          <w:trHeight w:val="3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04.06.2018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Прибытие на место прохождения практики (</w:t>
            </w:r>
            <w:r w:rsidDel="00000000" w:rsidR="00000000" w:rsidRPr="00000000">
              <w:rPr>
                <w:i w:val="1"/>
                <w:rtl w:val="0"/>
              </w:rPr>
              <w:t xml:space="preserve">название банка</w:t>
            </w:r>
            <w:r w:rsidDel="00000000" w:rsidR="00000000" w:rsidRPr="00000000">
              <w:rPr>
                <w:rtl w:val="0"/>
              </w:rPr>
              <w:t xml:space="preserve">). Прохождение необходимых инструктажей по охране труда и пожарной безопасности. Изучение Устава (</w:t>
            </w:r>
            <w:r w:rsidDel="00000000" w:rsidR="00000000" w:rsidRPr="00000000">
              <w:rPr>
                <w:i w:val="1"/>
                <w:rtl w:val="0"/>
              </w:rPr>
              <w:t xml:space="preserve">название банка</w:t>
            </w:r>
            <w:r w:rsidDel="00000000" w:rsidR="00000000" w:rsidRPr="00000000">
              <w:rPr>
                <w:rtl w:val="0"/>
              </w:rPr>
              <w:t xml:space="preserve">) и режима работы отделения. Ознакомление с нормативно-правовыми документами, регламентирующими работу банка. Анализ местонахождения, особенностей и основных направлений деятельности отделения.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05.06.2018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рабочего места, ознакомление с актуальными версиями использующегося программного обеспечения. Определение организационной структуры, изучение основных функций отделов и работников банка. Рассмотрение отношений между структурными подразделениями.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06.06.2018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программе Excel. Приобретение навыков анализа и обобщения информации. Консультация с руководителем практики.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07.06.2018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Сопровождение банковских операций по нескольких направлениям: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Эмиссия банковских карт;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42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Операционная поддержка.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08.06.2018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Ознакомление с отделом претензионной работы, помощь сотрудникам подразделения по рассмотрению заявлений.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09.06.2018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отделе сопровождения счетов и операций юридических лиц.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10.06.2018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Заполнение отчётной документации, получение подписей руководителя практики от банка.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