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1.Организационная структура КГБУЗ «Городская поликлиника № 11»</w:t>
      </w:r>
    </w:p>
    <w:p w:rsidR="00000000" w:rsidDel="00000000" w:rsidP="00000000" w:rsidRDefault="00000000" w:rsidRPr="00000000" w14:paraId="0000000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Поликлиника №11 является самостоятельной медицинской организацией, где оказывается первичная медико-санитарная помощь взрослому населению района.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наблюдение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 </w:t>
      </w:r>
    </w:p>
    <w:p w:rsidR="00000000" w:rsidDel="00000000" w:rsidP="00000000" w:rsidRDefault="00000000" w:rsidRPr="00000000" w14:paraId="00000004">
      <w:pPr>
        <w:tabs>
          <w:tab w:val="left" w:pos="598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Основными задачами поликлиники являются: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проведение диспансеризации населения;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диагностика и лечение различных заболеваний и состояний;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восстановительное лечение и реабилитация;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организация дополнительной бесплатной медицинской помощи, в том числе, необходимыми лекарственными средствами, отдельным категориям граждан;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проведение всех видов медицинских осмотров (профилактические, предварительные, периодические);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осуществление врачебных консультаций;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осуществление медицинского обеспечения подготовки юношей к военной службе;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экспертиза временной нетрудоспособности, выдача и продление листков нетрудоспособности;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предупреждения потребления психоактивных веществ, в том числе алкоголя, табака, наркотических веществ;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необходимости, лиц с высоким риском развития хронического неинфекционного заболевания на консультацию к врачу-специалисту;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повышение квалификации врачей и работников со средним медицинским образованием;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ведение медицинской документации в установленном порядке и представление отчетности;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94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осуществление взаимодействия с медицинскими организациями, Роспо-требнадзором,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000000" w:rsidDel="00000000" w:rsidP="00000000" w:rsidRDefault="00000000" w:rsidRPr="00000000" w14:paraId="0000001E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Общая численность обслуживаемого населения составляет 108.945 человек.</w:t>
      </w:r>
    </w:p>
    <w:p w:rsidR="00000000" w:rsidDel="00000000" w:rsidP="00000000" w:rsidRDefault="00000000" w:rsidRPr="00000000" w14:paraId="0000001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состав входят:</w:t>
      </w:r>
    </w:p>
    <w:p w:rsidR="00000000" w:rsidDel="00000000" w:rsidP="00000000" w:rsidRDefault="00000000" w:rsidRPr="00000000" w14:paraId="0000002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Поликлиника по ул. Суворова 38;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Поликлиника по ул. Краснореченская 107а,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Женская консультация № 1 ул. Иртышская,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Женская консультация № 2 ул. Рокоссовского 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Общая численность обслуживаемого населения составляет 108.945 человек.</w:t>
      </w:r>
    </w:p>
    <w:p w:rsidR="00000000" w:rsidDel="00000000" w:rsidP="00000000" w:rsidRDefault="00000000" w:rsidRPr="00000000" w14:paraId="0000002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Поликлиника №11 по улице Суворова, 38 расположена в типовом здании в центре Южного микрорайона, с численностью обслуживаемого населения 72.700 человек. </w:t>
      </w:r>
    </w:p>
    <w:p w:rsidR="00000000" w:rsidDel="00000000" w:rsidP="00000000" w:rsidRDefault="00000000" w:rsidRPr="00000000" w14:paraId="0000002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настоящее время проведен подушевой учет численности населения. Формирование сводных показателей учета посещений производится при помощи компьютера; всем амбулаторным картам присвоены компьютерные номера. Единым документом учета обращений по всем поводам за амбулаторной помощью является 025/10/У97 «Талон амбулаторного пациента»</w:t>
      </w:r>
    </w:p>
    <w:p w:rsidR="00000000" w:rsidDel="00000000" w:rsidP="00000000" w:rsidRDefault="00000000" w:rsidRPr="00000000" w14:paraId="0000002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Медицинская помощь населению оказывают специалисты:</w:t>
      </w:r>
    </w:p>
    <w:p w:rsidR="00000000" w:rsidDel="00000000" w:rsidP="00000000" w:rsidRDefault="00000000" w:rsidRPr="00000000" w14:paraId="0000002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Терапевт,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хирург,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отоларинголог,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окулист,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невролог,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онколог,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эндокринолог,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ревматолог,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кардиолог,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инфекционист,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физиотерапевт,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уролог,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гастроэнтеролог,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маммолог,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рентгенолог,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врач ЛФК,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ревматолог.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поликлинике функционируют диагностические кабинеты:</w:t>
      </w:r>
    </w:p>
    <w:p w:rsidR="00000000" w:rsidDel="00000000" w:rsidP="00000000" w:rsidRDefault="00000000" w:rsidRPr="00000000" w14:paraId="0000003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Флюорографический,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рентгенодиагностический,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лечебной физкультуры,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массажа,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функциональной диагностики,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физиотерапии,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лазеротерапии,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смотровой,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эндоскопический,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ультразвуковой диагностики,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процедурный,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клиническая и биохимическая лаборатории,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кабинет вакцинопрофилактики,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Поликлиника работает по принципу предварительной самозаписи. При наличии свободного времени на приеме у врача, пациент принимается в день обращения в поликлинику. Больные с острыми заболеваниями осматриваются в момент обращения. Вызовы принимаются по телефону и при обращении в регистратуру. Все нетранспортабельные больные с тяжелыми хроническими и острыми заболеваниями посещаются на дому участковым врачом, при необходимости, участковой медицинской сестрой выполняются медицинские манипуляции. Для улучшения медикаментозного обеспечения в поликлинике функционирует аптечный киоск, имеющий широкий перечень лекарственных препаратов. Льготные категории пациентов получают лекарственные препараты в специально оборудованном кабинете.</w:t>
      </w:r>
    </w:p>
    <w:p w:rsidR="00000000" w:rsidDel="00000000" w:rsidP="00000000" w:rsidRDefault="00000000" w:rsidRPr="00000000" w14:paraId="00000048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Структура территориального участка № 56</w:t>
      </w:r>
    </w:p>
    <w:p w:rsidR="00000000" w:rsidDel="00000000" w:rsidP="00000000" w:rsidRDefault="00000000" w:rsidRPr="00000000" w14:paraId="0000004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Ведущим звеном лечебно-профилактического учреждения является терапевтическое отделение.</w:t>
      </w:r>
    </w:p>
    <w:p w:rsidR="00000000" w:rsidDel="00000000" w:rsidP="00000000" w:rsidRDefault="00000000" w:rsidRPr="00000000" w14:paraId="0000004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Я работаю в терапевтическом отделении № 5, участковой медицинской сестрой на участке № 56. Участок расположен на 0,5 км. от поликлиники.</w:t>
      </w:r>
    </w:p>
    <w:p w:rsidR="00000000" w:rsidDel="00000000" w:rsidP="00000000" w:rsidRDefault="00000000" w:rsidRPr="00000000" w14:paraId="0000004B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На территории участка находятся следующие предприятия:</w:t>
      </w:r>
    </w:p>
    <w:p w:rsidR="00000000" w:rsidDel="00000000" w:rsidP="00000000" w:rsidRDefault="00000000" w:rsidRPr="00000000" w14:paraId="0000004C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Филиал стоматологической поликлиники № 22 – 8 человек;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Магазин «Семейный» - 13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Численность населения по территориальному участку за 2016г. </w:t>
      </w:r>
    </w:p>
    <w:p w:rsidR="00000000" w:rsidDel="00000000" w:rsidP="00000000" w:rsidRDefault="00000000" w:rsidRPr="00000000" w14:paraId="0000004F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709"/>
        <w:jc w:val="left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514725" cy="885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0" w:firstLine="709"/>
        <w:jc w:val="left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0" w:firstLine="709"/>
        <w:jc w:val="left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Численность населения по территориальному участку за 2016г.</w:t>
      </w:r>
    </w:p>
    <w:tbl>
      <w:tblPr>
        <w:tblStyle w:val="Table1"/>
        <w:tblW w:w="4116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231"/>
        <w:gridCol w:w="1082"/>
        <w:gridCol w:w="1094"/>
        <w:gridCol w:w="709"/>
        <w:tblGridChange w:id="0">
          <w:tblGrid>
            <w:gridCol w:w="1231"/>
            <w:gridCol w:w="1082"/>
            <w:gridCol w:w="1094"/>
            <w:gridCol w:w="709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Возраст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Мужчины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Женщины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18-19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62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20-29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368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30-39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160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40-49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303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50-59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375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60-69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247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70 и старше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198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750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963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1713</w:t>
            </w:r>
          </w:p>
        </w:tc>
      </w:tr>
    </w:tbl>
    <w:p w:rsidR="00000000" w:rsidDel="00000000" w:rsidP="00000000" w:rsidRDefault="00000000" w:rsidRPr="00000000" w14:paraId="0000007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276725" cy="16402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40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На участке преобладает женское население, что наглядно отражено в таблице и на гистограмме.</w:t>
      </w:r>
    </w:p>
    <w:p w:rsidR="00000000" w:rsidDel="00000000" w:rsidP="00000000" w:rsidRDefault="00000000" w:rsidRPr="00000000" w14:paraId="0000007B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Для работы на участке заведена следующая документация:</w:t>
      </w:r>
    </w:p>
    <w:p w:rsidR="00000000" w:rsidDel="00000000" w:rsidP="00000000" w:rsidRDefault="00000000" w:rsidRPr="00000000" w14:paraId="0000007C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Журнал переписи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Паспорт участка (ученая форма № 030/у-тер.)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Журнал учета листов временной нетрудоспособности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Дневник учета работы медсестры (учетная форма № 039/у-1-06)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Журнал учета профилактических прививок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Журнал учета стационаров на дому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Флюорографический 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Папка участковой медсестры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2136"/>
        </w:tabs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2.Краткая характеристика рабочего места</w:t>
      </w:r>
    </w:p>
    <w:p w:rsidR="00000000" w:rsidDel="00000000" w:rsidP="00000000" w:rsidRDefault="00000000" w:rsidRPr="00000000" w14:paraId="0000008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Кабинет амбулаторного приема – рабочее место врача и медицинской сестры. Кабинет оборудован всем необходимым для ведения приёма пациентов: столы для врача и медицинской сестры, стулья поворотные, тумбочки для дезинфицирующих средств, кущетку, шкаф для хранения медицинской документации. Наглядная информация для пациентов располагается на видном месте в холле у кабинета.</w:t>
      </w:r>
    </w:p>
    <w:p w:rsidR="00000000" w:rsidDel="00000000" w:rsidP="00000000" w:rsidRDefault="00000000" w:rsidRPr="00000000" w14:paraId="0000008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Кабинет врача, оборудование, медицинский и другой инвентарь содержатся в чистоте. Влажная уборка помещений (обработка полов, мебели, оборудования, подоконников, дверей) осуществляется не менее 2-х раз в сутки с использованием моющих и дезинфицирующих средств, разрешенных к использованию в установленном порядке. Мытье оконных стекол проводится не реже 1 раза в месяц изнутри и не реже 1 раза в 3 месяца снаружи (весной, летом, осенью). Генеральная уборка кабинетов проводится по графику не реже 1 раза в месяц с обработкой стен, полов, оборудования, инвентаря, светильников.</w:t>
      </w:r>
    </w:p>
    <w:p w:rsidR="00000000" w:rsidDel="00000000" w:rsidP="00000000" w:rsidRDefault="00000000" w:rsidRPr="00000000" w14:paraId="0000008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 2014 года используется в работе медицинско-информационная система «МЕДИАЛОГ». Эта компьютерная программа значительно упростила и систематизировала обработку данных необходимых в процессе работы. Программа позволяет создавать и вести индивидуальную электронную карту пациента, которая прекрасно заменила старые бумажные аналоги. В электронную карту системы «МЕДИАЛОГ» заносятся данные о самом пациенте, состоянии здоровья на момент приёма и первичного обследования, результаты анализов назначенных обследований, а так же заключения врачей-специалистов. Удобный мониторинг посещаемости пациента, а так же упрощенная и наглядная возможность предварительной записи на приём и медицинские обследования. «МЕДИАЛОГ» значительно упрощает работу с индивидуальными картами, создаёт возможность более оперативного сбора информации о пациенте и её обработке. </w:t>
      </w:r>
    </w:p>
    <w:p w:rsidR="00000000" w:rsidDel="00000000" w:rsidP="00000000" w:rsidRDefault="00000000" w:rsidRPr="00000000" w14:paraId="0000008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Формирование сводных показателей учета посещений производится при помощи компьютера; всем амбулаторным картам присвоены компьютерные номера. Единым документом учета обращений по всем поводам за амбулаторной помощью является «Талон амбулаторного пациента» (ф. 025-6(7)/у-89; 025-10/у-97; 025-11/у-02; 025-12/у-04). Талоны заполняются на все заболевания и травмы.</w:t>
      </w:r>
    </w:p>
    <w:p w:rsidR="00000000" w:rsidDel="00000000" w:rsidP="00000000" w:rsidRDefault="00000000" w:rsidRPr="00000000" w14:paraId="0000008B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3.Работа медицинской сестры участковой </w:t>
      </w:r>
    </w:p>
    <w:p w:rsidR="00000000" w:rsidDel="00000000" w:rsidP="00000000" w:rsidRDefault="00000000" w:rsidRPr="00000000" w14:paraId="0000008F">
      <w:pPr>
        <w:tabs>
          <w:tab w:val="left" w:pos="2136"/>
        </w:tabs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2136"/>
        </w:tabs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работе участковой медицинской сестры выделяют следующие виды деятельности:</w:t>
      </w:r>
    </w:p>
    <w:p w:rsidR="00000000" w:rsidDel="00000000" w:rsidP="00000000" w:rsidRDefault="00000000" w:rsidRPr="00000000" w14:paraId="00000091">
      <w:pPr>
        <w:tabs>
          <w:tab w:val="left" w:pos="720"/>
          <w:tab w:val="left" w:pos="2136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организационная (организация маршрута медико-социальной помощи, организация собственной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лечебно-диагностическая;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профилактическая (профилактическо-реабилитационная);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обеспечение инфекционной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повышение профессиональной квалификации.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504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Я, как медицинская сестра участковая, обеспечивающая оказание медицинской помощи на прикрепленном врачебном (терапевтическом) участке, в рамках своей компетенции:</w:t>
      </w:r>
    </w:p>
    <w:p w:rsidR="00000000" w:rsidDel="00000000" w:rsidP="00000000" w:rsidRDefault="00000000" w:rsidRPr="00000000" w14:paraId="00000097">
      <w:pPr>
        <w:tabs>
          <w:tab w:val="left" w:pos="562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формирую совместно с врачом-терапевтом участковым врачебный (терапевтический) участок из прикрепленного к нему населения, веду персональный учет, информационную (компьютерную) базу данных состояния здоровья обслуживаемого населения, участвую в формировании групп диспансерных больных;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организую, амбулаторный прием врача-терапевта участкового, подготавливаю к работе приборы, инструменты, обеспечиваю бланками рецептов, направлений;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провожу мероприятия по санитарно-гигиеническому воспитанию и образованию обслуживаемого населения, консультирую по вопросам формирования здорового образа жизни;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осуществляю профилактические мероприятия по предупреждению и снижению заболеваемости, выявление ранних и скрытых форм заболеваний, социально значимых болезней и факторов риска, изучаю потребности обслуживаемого населения в оздоровительных мероприятиях и разрабатываю программу проведения этих мероприятий;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осуществляю диспансерное наблюдение больных, в том числе имеющих право на получение набора социальных услуг, в установленном порядке;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организую проведение диагностики и лечения заболеваний и состояний, в том числе восстановительного лечения больных в амбулаторных условиях, дневном стационаре и стационаре на дому;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оказываю неотложную доврачебную медицинскую помощь больным при острых заболеваниях, травмах, отравлениях и других неотложных состояниях в амбулаторных условиях, дневном стационаре и стационаре на дому;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оформляю направление больных на консультации к врачам-специалистам, в том числе для стационарного и восстановительного лечения по медицинским показаниям;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провожу мероприятия по профилактике инфекционных заболеваний, организую и провожу противоэпидемические мероприятия и иммунопрофилактику в установленном порядке;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обеспечиваю врача-терапевта участкового необходимыми медикаментами, стерильными инструментами;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веду медицинскую документацию в установленном порядке, анализирую состояние здоровья прикрепленного населения и деятельность врачебного (терапевтического) участка.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В своей работе я руководствуюсь следующими нормативными документами:</w:t>
      </w:r>
    </w:p>
    <w:p w:rsidR="00000000" w:rsidDel="00000000" w:rsidP="00000000" w:rsidRDefault="00000000" w:rsidRPr="00000000" w14:paraId="000000A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«Об организации деятельности медицинской сестры участковой» от 21.06.2006г. № 490</w:t>
      </w:r>
    </w:p>
    <w:p w:rsidR="00000000" w:rsidDel="00000000" w:rsidP="00000000" w:rsidRDefault="00000000" w:rsidRPr="00000000" w14:paraId="000000A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Должностной инструкцией участковой медицинской сестры </w:t>
      </w:r>
    </w:p>
    <w:p w:rsidR="00000000" w:rsidDel="00000000" w:rsidP="00000000" w:rsidRDefault="00000000" w:rsidRPr="00000000" w14:paraId="000000A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ФЗ от 18.06.2001г. №77-ФЗ «О предупреждении распространения туберкулеза в РФ»</w:t>
      </w:r>
    </w:p>
    <w:p w:rsidR="00000000" w:rsidDel="00000000" w:rsidP="00000000" w:rsidRDefault="00000000" w:rsidRPr="00000000" w14:paraId="000000A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Приказ Департамента здравоохранения Хабаровского края от 14.02.2000 г. № 74 «По раннему выявлению и диагностики туберкулеза» </w:t>
      </w:r>
    </w:p>
    <w:p w:rsidR="00000000" w:rsidDel="00000000" w:rsidP="00000000" w:rsidRDefault="00000000" w:rsidRPr="00000000" w14:paraId="000000A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Приказ МЗ и социального развития РФ от 12.02.2007г.№ 110 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</w:r>
    </w:p>
    <w:p w:rsidR="00000000" w:rsidDel="00000000" w:rsidP="00000000" w:rsidRDefault="00000000" w:rsidRPr="00000000" w14:paraId="000000A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Приказ МЗ РФ от 03.02.97 г. №36 «О совершенствовании мероприятий по профилактике дифтерии»;</w:t>
      </w:r>
    </w:p>
    <w:p w:rsidR="00000000" w:rsidDel="00000000" w:rsidP="00000000" w:rsidRDefault="00000000" w:rsidRPr="00000000" w14:paraId="000000A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Приказ Фонда Социального Страхования РФ и Минздрава РФ от 29.01.2004 г. №18/29 «Об утверждении инструкции и порядке обеспечения бланками листков нетрудоспособности, их учёта и хранения»;</w:t>
      </w:r>
    </w:p>
    <w:p w:rsidR="00000000" w:rsidDel="00000000" w:rsidP="00000000" w:rsidRDefault="00000000" w:rsidRPr="00000000" w14:paraId="000000A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•Федеральный Закон от 17.09.1999г. № 157 «Об иммунопрофилактике инфекционных заболеваний»;</w:t>
      </w:r>
    </w:p>
    <w:p w:rsidR="00000000" w:rsidDel="00000000" w:rsidP="00000000" w:rsidRDefault="00000000" w:rsidRPr="00000000" w14:paraId="000000AB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3.1.1.2341 – 08 «Профилактика вирусного гепатита В»;</w:t>
      </w:r>
    </w:p>
    <w:p w:rsidR="00000000" w:rsidDel="00000000" w:rsidP="00000000" w:rsidRDefault="00000000" w:rsidRPr="00000000" w14:paraId="000000AC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3.1.2.1319 – 03 «Профилактика гриппа»;</w:t>
      </w:r>
    </w:p>
    <w:p w:rsidR="00000000" w:rsidDel="00000000" w:rsidP="00000000" w:rsidRDefault="00000000" w:rsidRPr="00000000" w14:paraId="000000AD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3.1.3.2352 – 08 «Профилактика клещевого энцефалита»;</w:t>
      </w:r>
    </w:p>
    <w:p w:rsidR="00000000" w:rsidDel="00000000" w:rsidP="00000000" w:rsidRDefault="00000000" w:rsidRPr="00000000" w14:paraId="000000AE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3.1.2.1108 – 02 «Профилактика дифтерии»;</w:t>
      </w:r>
    </w:p>
    <w:p w:rsidR="00000000" w:rsidDel="00000000" w:rsidP="00000000" w:rsidRDefault="00000000" w:rsidRPr="00000000" w14:paraId="000000A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3.1.5.2826 – 10 «Профилактика ВИЧ-инфекций»;</w:t>
      </w:r>
    </w:p>
    <w:p w:rsidR="00000000" w:rsidDel="00000000" w:rsidP="00000000" w:rsidRDefault="00000000" w:rsidRPr="00000000" w14:paraId="000000B0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3.1.1.1295 – 03 «Профилактика туберкулёза»;</w:t>
      </w:r>
    </w:p>
    <w:p w:rsidR="00000000" w:rsidDel="00000000" w:rsidP="00000000" w:rsidRDefault="00000000" w:rsidRPr="00000000" w14:paraId="000000B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3.1.2.2512 – 09 «Профилактика менингококковой инфекции»;</w:t>
      </w:r>
    </w:p>
    <w:p w:rsidR="00000000" w:rsidDel="00000000" w:rsidP="00000000" w:rsidRDefault="00000000" w:rsidRPr="00000000" w14:paraId="000000B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•СанПиН 2.1.7.2790 – 10 «Санитарно-эпидемиологические требования к обращению с медицинскими отходами »;</w:t>
      </w:r>
    </w:p>
    <w:p w:rsidR="00000000" w:rsidDel="00000000" w:rsidP="00000000" w:rsidRDefault="00000000" w:rsidRPr="00000000" w14:paraId="000000B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•СП 3.1.1.3108 - 13 «Профилактика острых кишечных инфекций»;</w:t>
      </w:r>
    </w:p>
    <w:p w:rsidR="00000000" w:rsidDel="00000000" w:rsidP="00000000" w:rsidRDefault="00000000" w:rsidRPr="00000000" w14:paraId="000000B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•СанПиН 2.1.3.2630 – 10 «Санитарно-эпидемиологические требования к организациям, осуществляющим медицинскую деятельность»;</w:t>
      </w:r>
    </w:p>
    <w:p w:rsidR="00000000" w:rsidDel="00000000" w:rsidP="00000000" w:rsidRDefault="00000000" w:rsidRPr="00000000" w14:paraId="000000B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Приказ МЗ РФ от 16.06.2016 г .№ 370н «Об утверждении национального календаря профилактических прививок и календаре профилактических прививок по эпидемическим показаниям».</w:t>
      </w:r>
    </w:p>
    <w:p w:rsidR="00000000" w:rsidDel="00000000" w:rsidP="00000000" w:rsidRDefault="00000000" w:rsidRPr="00000000" w14:paraId="000000B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Постоянно веду работу на участке: собираю списки людей, работающих на предприятиях, расположенных на моем участке, для проведения профилактических прививок и прохождения флюорографического обследования. Ежеквартально веду сверку списков по количественному составу лиц, работающих на предприятиях; заношу результаты флюорографического обследования в списки; выверяю статистические талоны: подготавливаю предварительные материалы для составления отчета по диспансеризации населения на участке; по назначению врача выполняю медицинские манипуляции.</w:t>
      </w:r>
    </w:p>
    <w:p w:rsidR="00000000" w:rsidDel="00000000" w:rsidP="00000000" w:rsidRDefault="00000000" w:rsidRPr="00000000" w14:paraId="000000B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Совместно с врачом я составляю: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Отчет по листам нетрудоспособности ежемесячно и один раз в квартал;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Отчеты о флюорографическом обследовании неорганизованного населения ежемесячно;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Отчеты о флюорографическом обследовании по предприятиям - ежемесячно, согласно графику;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Отчеты о прививках против дифтерии, кори, краснухи, гепатиту В поквартально;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Отчеты по диспансеризации - полугодовой и годовой;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Сестринская дневка - ежемесячно;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8"/>
          <w:szCs w:val="28"/>
          <w:rtl w:val="0"/>
        </w:rPr>
        <w:t xml:space="preserve">Рабочий день медицинской сестры складывается:</w:t>
      </w:r>
    </w:p>
    <w:p w:rsidR="00000000" w:rsidDel="00000000" w:rsidP="00000000" w:rsidRDefault="00000000" w:rsidRPr="00000000" w14:paraId="000000B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- прием с врачом - 4 часа, </w:t>
      </w:r>
    </w:p>
    <w:p w:rsidR="00000000" w:rsidDel="00000000" w:rsidP="00000000" w:rsidRDefault="00000000" w:rsidRPr="00000000" w14:paraId="000000C0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- работа на участке – 3,25 часа.</w:t>
      </w:r>
    </w:p>
    <w:p w:rsidR="00000000" w:rsidDel="00000000" w:rsidP="00000000" w:rsidRDefault="00000000" w:rsidRPr="00000000" w14:paraId="000000C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Прием пациентов ведется по скользящему графику в утренние, дневные и вечерние часы.</w:t>
      </w:r>
    </w:p>
    <w:p w:rsidR="00000000" w:rsidDel="00000000" w:rsidP="00000000" w:rsidRDefault="00000000" w:rsidRPr="00000000" w14:paraId="000000C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Перед началом приема я выполняю следующую работу: приношу амбулаторные карты из регистратуры (ф.025/у-87, 025/у-04), забираю результаты анализов и диагностических обследований, расклеиваю анализы по амбулаторным картам.</w:t>
      </w:r>
    </w:p>
    <w:p w:rsidR="00000000" w:rsidDel="00000000" w:rsidP="00000000" w:rsidRDefault="00000000" w:rsidRPr="00000000" w14:paraId="000000C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Во время приёма слежу за соблюдением очерёдности, приглашая больных, согласно времени указанного в листах самозаписи. Обеспечиваю приём вне очереди больным с высокой температурой и острой болью. Выписываю направления в диагностические кабинеты, рецепты, заполняю статистические талоны. При необходимости сопровождаю больного в другие кабинеты для консультации. Объясняю пациентам, как правильно принимать назначенные врачом лекарственные средства, контролирую прохождение больными минимума обследования - флюорография грудной клетки, анализ крови на RW, для женщин - гинеколог, а лица старше 40 лет - осмотр у окулиста на глаукому. </w:t>
      </w:r>
    </w:p>
    <w:p w:rsidR="00000000" w:rsidDel="00000000" w:rsidP="00000000" w:rsidRDefault="00000000" w:rsidRPr="00000000" w14:paraId="000000C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После приёма делаю раскладку отработанных карт на следующие дни явки больных. Карты пролеченных больных сдаются мною на проверку заведующему отделением.</w:t>
      </w:r>
    </w:p>
    <w:p w:rsidR="00000000" w:rsidDel="00000000" w:rsidP="00000000" w:rsidRDefault="00000000" w:rsidRPr="00000000" w14:paraId="000000C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4. Количественные и качественные показатели работы</w:t>
      </w:r>
    </w:p>
    <w:p w:rsidR="00000000" w:rsidDel="00000000" w:rsidP="00000000" w:rsidRDefault="00000000" w:rsidRPr="00000000" w14:paraId="000000C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Важным и ответственным моментом в работе участковой медсестры является выполнение медицинских манипуляций на дому. Это забор анализов крови, подкожные, внутримышечные, внутривенные инъекции. </w:t>
      </w:r>
    </w:p>
    <w:p w:rsidR="00000000" w:rsidDel="00000000" w:rsidP="00000000" w:rsidRDefault="00000000" w:rsidRPr="00000000" w14:paraId="000000C9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Количество проделанных процедур в 2016 г</w:t>
      </w: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8"/>
          <w:szCs w:val="28"/>
          <w:rtl w:val="0"/>
        </w:rPr>
        <w:t xml:space="preserve">. (в сравнении с 2015г.)</w:t>
      </w:r>
      <w:r w:rsidDel="00000000" w:rsidR="00000000" w:rsidRPr="00000000">
        <w:rPr>
          <w:rtl w:val="0"/>
        </w:rPr>
      </w:r>
    </w:p>
    <w:tbl>
      <w:tblPr>
        <w:tblStyle w:val="Table2"/>
        <w:tblW w:w="4158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2660"/>
        <w:gridCol w:w="749"/>
        <w:gridCol w:w="749"/>
        <w:tblGridChange w:id="0">
          <w:tblGrid>
            <w:gridCol w:w="2660"/>
            <w:gridCol w:w="749"/>
            <w:gridCol w:w="749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Манипуляции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2015г.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2016г.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Внутривенные инъекции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820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1010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Внутримышечные инъекции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860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950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Забор анализов крови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84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Мазки на BL из носа и зева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Перевязки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Забор мокроты на ВК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Всего процедур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1732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2059</w:t>
            </w:r>
          </w:p>
        </w:tc>
      </w:tr>
    </w:tbl>
    <w:p w:rsidR="00000000" w:rsidDel="00000000" w:rsidP="00000000" w:rsidRDefault="00000000" w:rsidRPr="00000000" w14:paraId="000000E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целях предупреждения различных заболеваний, связанных с медицинскими манипуляциями, обязана соблюдать правила (СанПиН 2.1.3.1375-03 «Гигиенические требования к размещению, устройству, оборудованию и эксплуатации больниц, родильных домов и других лечебных стационаров»):</w:t>
      </w:r>
    </w:p>
    <w:p w:rsidR="00000000" w:rsidDel="00000000" w:rsidP="00000000" w:rsidRDefault="00000000" w:rsidRPr="00000000" w14:paraId="000000E5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использованный медицинский инструментарий сразу после окончания манипуляции или процедуры погружать в емкость с дезинфицирующим раствором;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 загрязнении рук кровью, сывороткой, выделениями тщательно протирать их тампоном, смоченным кожным антисептиком, после чего мыть проточной водой с мылом. Перчатки обрабатывать салфеткой, смоченной дезинфектантом, мыть проточной водой, затем снимать их и руки мыть и обрабатывать кожным антисептиком;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 попадании биологической жидкости пациента на слизистые ротоглотки немедленно рот и горло прополоскать 70% спиртом или 0,05% раствором марганцовокислого калия;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 попадании биологических жидкостей в глаза промыть их раствором марганцовокислого калия в воде в соотношении 1:10000;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 уколах и порезах вымыть руки, не снимая перчаток, проточной водой с мылом, снять печатки, выдавить из ранки кровь, вымыть руки с мылом и обработать ранку 5% спиртовой настойкой йода;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 наличии на руках микротравм, царапин, ссадин заклеивать побежденные места лейкопластырем;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⮚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для ухода за кожей рук использовать смягчающие и защитные кремы, обеспечивающие эластичность и прочность кожи.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Диспансеризация</w:t>
      </w:r>
    </w:p>
    <w:p w:rsidR="00000000" w:rsidDel="00000000" w:rsidP="00000000" w:rsidRDefault="00000000" w:rsidRPr="00000000" w14:paraId="000000ED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Стало признанным, что здоровье обладает высшей ценность для общества и индивидуума и для его поддержания, укрепления, восстановления приходится затрачивать материальные, финансовые, информационные, трудовые и другие ресурсы. </w:t>
      </w:r>
    </w:p>
    <w:p w:rsidR="00000000" w:rsidDel="00000000" w:rsidP="00000000" w:rsidRDefault="00000000" w:rsidRPr="00000000" w14:paraId="000000EE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Диспансеризация –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это система медицинских мероприятий, направленных на укрепление здоровья людей путем профилактики, раннего выявления болезни, лечения и реабилитации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Кратность наблюдения зависит от нозологической формы. Диспансеризация проводится согласно приказу № 770 "О порядке проведения всеобщей диспансеризации населения " от 03.03.1986 г.</w:t>
      </w:r>
    </w:p>
    <w:p w:rsidR="00000000" w:rsidDel="00000000" w:rsidP="00000000" w:rsidRDefault="00000000" w:rsidRPr="00000000" w14:paraId="000000E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Основная цель диспансеризации – предупреждение обострений заболеваний, снижение заболеваемости населения.</w:t>
      </w:r>
    </w:p>
    <w:p w:rsidR="00000000" w:rsidDel="00000000" w:rsidP="00000000" w:rsidRDefault="00000000" w:rsidRPr="00000000" w14:paraId="000000F0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Регулярно, один раз в месяц, проводятся диспансерные дни. Диспансеризация по двум направлениям: по обращаемости и активно для лиц пожилого возраста. Принимаю активное участие в проведении диспансеризации, самостоятельно посещаю хронических больных на дому.</w:t>
      </w:r>
    </w:p>
    <w:p w:rsidR="00000000" w:rsidDel="00000000" w:rsidP="00000000" w:rsidRDefault="00000000" w:rsidRPr="00000000" w14:paraId="000000F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Я принимаю активное участие в проведении диспансеризации, самостоятельно посещаю хронических больных на дому. Накануне диспансерного дня я вызываю больных, нуждающихся в диспансерном осмотре. Им назначается профилактическое лечение, даются рекомендации, по показаниям направляют на дообследование. Больные, перенесшие инфаркт миокарда, острую пневмонию, язвенную болезнь, берутся на «Д» - учет в 100% случаев.</w:t>
      </w:r>
    </w:p>
    <w:p w:rsidR="00000000" w:rsidDel="00000000" w:rsidP="00000000" w:rsidRDefault="00000000" w:rsidRPr="00000000" w14:paraId="000000F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На диспансерном наблюдении находятся участники ВОВ, инвалиды ВОВ, реабилитированные, участники боевых действий в Чечне и Афганистане - общей численностью 34 человек. Для этой категории лиц ежегодно проводятся комплексные медицинские осмотры с привлечением узких специалистов: хирурга, невролога, отоларинголога, окулиста, по показаниям и других специалистов. Все проходят минимальный комплекс обследований. Приглашенные лица получают необходимые советы, профилактическое лечение, при необходимости направляются на стационарное лечение. Нетранспортабельные больные из этой категории осматриваются специалистами на дому.</w:t>
      </w:r>
    </w:p>
    <w:p w:rsidR="00000000" w:rsidDel="00000000" w:rsidP="00000000" w:rsidRDefault="00000000" w:rsidRPr="00000000" w14:paraId="000000F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Для работы с льготной категорией граждан, для реализации «национальной программы «Здоровье», в поликлинике работает оргметодкабинет, оснащенный компьютерами, благодаря которым быстро обеспечивается взаимосвязь с аптеками города, в связи, с чем улучшается обеспечение граждан медикаментами.</w:t>
      </w:r>
    </w:p>
    <w:p w:rsidR="00000000" w:rsidDel="00000000" w:rsidP="00000000" w:rsidRDefault="00000000" w:rsidRPr="00000000" w14:paraId="000000F4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f2dbdb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Льготные категории граждан по территориальному участку за 2016 г.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( в сравнении с 2015г.)</w:t>
      </w:r>
      <w:r w:rsidDel="00000000" w:rsidR="00000000" w:rsidRPr="00000000">
        <w:rPr>
          <w:rtl w:val="0"/>
        </w:rPr>
      </w:r>
    </w:p>
    <w:tbl>
      <w:tblPr>
        <w:tblStyle w:val="Table3"/>
        <w:tblW w:w="5123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3625"/>
        <w:gridCol w:w="749"/>
        <w:gridCol w:w="749"/>
        <w:tblGridChange w:id="0">
          <w:tblGrid>
            <w:gridCol w:w="3625"/>
            <w:gridCol w:w="749"/>
            <w:gridCol w:w="749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Категория граждан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2015г.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2016г.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Участники ВОВ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Репрессированные, реабилитированные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Реабилитированные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Инвалиды груда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</w:tr>
    </w:tbl>
    <w:p w:rsidR="00000000" w:rsidDel="00000000" w:rsidP="00000000" w:rsidRDefault="00000000" w:rsidRPr="00000000" w14:paraId="0000010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Диспансерные группы по нозологическим единицам в 2016г.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(в сравнении с 2015г)</w:t>
      </w:r>
    </w:p>
    <w:tbl>
      <w:tblPr>
        <w:tblStyle w:val="Table4"/>
        <w:tblW w:w="4234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2736"/>
        <w:gridCol w:w="749"/>
        <w:gridCol w:w="749"/>
        <w:tblGridChange w:id="0">
          <w:tblGrid>
            <w:gridCol w:w="2736"/>
            <w:gridCol w:w="749"/>
            <w:gridCol w:w="749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Нозологическая форма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2015 г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2016 г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Артериальная гипертензия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ВПС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Ишемическая болезнь сердца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Язвенная болезнь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Хронический гастрит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Хронический холецистит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Хронический бронхит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Бронхиальная астма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Анемия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Сахарный диабет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Хронический гепатит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Ревматоидный артрит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ДОА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199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226</w:t>
            </w:r>
          </w:p>
        </w:tc>
      </w:tr>
    </w:tbl>
    <w:p w:rsidR="00000000" w:rsidDel="00000000" w:rsidP="00000000" w:rsidRDefault="00000000" w:rsidRPr="00000000" w14:paraId="0000013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Отмечается рост диспансерных больных по сравнению с 2015 годом, что связано с ростом общей заболеваемости, неправильного образа жизни, питания, переутомления, нервного истощения, а так же ухудшением состояния окружающей среды. В диспансерной группе преобладают сердечно-сосудистые заболевания, преимущественно гипертоническая болезнь, на втором месте ишемическая болезнь сердца, далее с сахарный диабет.</w:t>
      </w:r>
    </w:p>
    <w:p w:rsidR="00000000" w:rsidDel="00000000" w:rsidP="00000000" w:rsidRDefault="00000000" w:rsidRPr="00000000" w14:paraId="00000137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8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5.Дополнительная диспансеризация</w:t>
      </w:r>
    </w:p>
    <w:p w:rsidR="00000000" w:rsidDel="00000000" w:rsidP="00000000" w:rsidRDefault="00000000" w:rsidRPr="00000000" w14:paraId="0000013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До 31 декабря 2012 года осуществлялась дополнительная диспансеризация работающего населения в рамках реализации приоритетного национального проекта «Здоровье». С 2013 года началась ежегодная диспансеризация определенных групп взрослого населения. С тех пор диспансеризация проводится в рамках программы государственных гарантий бесплатного оказания гражданам медицинской помощи. Диспансеризация проводится бесплатно по полису ОМС в соответствии с приказом Министерства здравоохранения Российской Федерации от 03.12.2012 №1006н «Об утверждении порядка проведения диспансеризации определенных групп взрослого населения». </w:t>
      </w:r>
    </w:p>
    <w:p w:rsidR="00000000" w:rsidDel="00000000" w:rsidP="00000000" w:rsidRDefault="00000000" w:rsidRPr="00000000" w14:paraId="0000013B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Новый порядок диспансеризации разработан с учетом отечественного и международного опыта и с учетом пиков заболеваемости в том или ином возрасте. Пройти диспансеризацию бесплатно по полису ОМС в поликлинике могут те граждане, которым в текущем году исполнится 21 год и далее с кратностью 3 года.</w:t>
      </w:r>
    </w:p>
    <w:p w:rsidR="00000000" w:rsidDel="00000000" w:rsidP="00000000" w:rsidRDefault="00000000" w:rsidRPr="00000000" w14:paraId="0000013C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Особенности нового порядка диспансеризации:</w:t>
      </w:r>
    </w:p>
    <w:p w:rsidR="00000000" w:rsidDel="00000000" w:rsidP="00000000" w:rsidRDefault="00000000" w:rsidRPr="00000000" w14:paraId="0000013D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участковый принцип ее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дифференцированный набор обследований в зависимости от возраста и пола (в целях повышения вероятности раннего выявления наиболее часто встречающихся для данного пола и возраста хронических неинфекционных заболеваний);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Этапы проведения диспансеризации: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первый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этап 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диагноза на втором этапе диспансеризации; </w:t>
      </w:r>
    </w:p>
    <w:p w:rsidR="00000000" w:rsidDel="00000000" w:rsidP="00000000" w:rsidRDefault="00000000" w:rsidRPr="00000000" w14:paraId="0000014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▪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этап диспансеризации проводится по определенным на первом этапе показаниям с целью дополнительного обследования и уточнения диагноза заболевания (состояния); конкретизация понятия «факторы риска», к которым относятся повышенный уровень артериального давления, повышенный уровень сахара и холестерина в крови, курение табака, пагубное потребления алкоголя, нерациональное питание, низкая физическая активность, избыточная масса тела и ожирение; уменьшение числа групп здоровья с пяти до трех и новый принцип их определения, позволяющий четко обозначить порядок действий в отношении каждого гражданина.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Диспансеризация направлена на раннее выявление основных факторов риска развития хронических неинфекционных заболеваний, т.е. снижение инвалидности, преждевременной смертности и увеличение продолжительности жизни.</w:t>
      </w:r>
    </w:p>
    <w:p w:rsidR="00000000" w:rsidDel="00000000" w:rsidP="00000000" w:rsidRDefault="00000000" w:rsidRPr="00000000" w14:paraId="0000014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Диспансеризация позволит сохранить и укрепить здоровье, а при необходимости своевременно провести дообследование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000000" w:rsidDel="00000000" w:rsidP="00000000" w:rsidRDefault="00000000" w:rsidRPr="00000000" w14:paraId="00000145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Диспансеризация проводится 1 раз в 3 года в возрастные периоды, начиная с 21 года и далее с кратностью 3 года (в соответствии с Приложением №1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приказа МЗ РФ от 03.12.2012 №1006н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Исключение составляют категории граждан, которым диспансеризация проводится ежегодно вне зависимости от возраста (в объеме, предусмотренном для граждан ближайшей возрастной категории):</w:t>
      </w:r>
    </w:p>
    <w:p w:rsidR="00000000" w:rsidDel="00000000" w:rsidP="00000000" w:rsidRDefault="00000000" w:rsidRPr="00000000" w14:paraId="00000147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- инвалиды Великой Отечественной войны;</w:t>
      </w:r>
    </w:p>
    <w:p w:rsidR="00000000" w:rsidDel="00000000" w:rsidP="00000000" w:rsidRDefault="00000000" w:rsidRPr="00000000" w14:paraId="00000148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- лица, награжденные знаком «Жителю блокадного Ленинграда»;</w:t>
      </w:r>
    </w:p>
    <w:p w:rsidR="00000000" w:rsidDel="00000000" w:rsidP="00000000" w:rsidRDefault="00000000" w:rsidRPr="00000000" w14:paraId="00000149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- лица,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:rsidR="00000000" w:rsidDel="00000000" w:rsidP="00000000" w:rsidRDefault="00000000" w:rsidRPr="00000000" w14:paraId="0000014A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I группа состояния здоровья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–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 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II группа состояния здоровья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– граждане, у которых не установлены хронические неинфекционные заболевания, имеются факторы риска развития таких заболеваний при высоком суммарном сердечно-сосудистом риске и которые не нуждаются в диспансерном наблюдении по поводу других заболеваний (состояний); Таким гражданам проводится коррекция факторов риска развития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III группа состояния здоровья</w:t>
      </w: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состояния здоровья гражданина может быть изменена). 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000000" w:rsidDel="00000000" w:rsidP="00000000" w:rsidRDefault="00000000" w:rsidRPr="00000000" w14:paraId="0000014E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2016 году на обслуживаемом мной участке прошли диспансеризацию в рамках программы государственных гарантий 371 человек. </w:t>
      </w:r>
    </w:p>
    <w:p w:rsidR="00000000" w:rsidDel="00000000" w:rsidP="00000000" w:rsidRDefault="00000000" w:rsidRPr="00000000" w14:paraId="0000014F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Из них зарегистрировано хронических заболеваний (ранее известных) – 104 человека.</w:t>
      </w:r>
    </w:p>
    <w:p w:rsidR="00000000" w:rsidDel="00000000" w:rsidP="00000000" w:rsidRDefault="00000000" w:rsidRPr="00000000" w14:paraId="00000150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Впервые выявленная патология – 57 человек.</w:t>
      </w:r>
    </w:p>
    <w:p w:rsidR="00000000" w:rsidDel="00000000" w:rsidP="00000000" w:rsidRDefault="00000000" w:rsidRPr="00000000" w14:paraId="00000151">
      <w:pPr>
        <w:spacing w:line="240" w:lineRule="auto"/>
        <w:ind w:left="0" w:firstLine="709"/>
        <w:jc w:val="left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ind w:left="0" w:firstLine="709"/>
        <w:jc w:val="left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Определена группа здоровья:</w:t>
      </w:r>
    </w:p>
    <w:tbl>
      <w:tblPr>
        <w:tblStyle w:val="Table5"/>
        <w:tblW w:w="5280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760"/>
        <w:gridCol w:w="1760"/>
        <w:gridCol w:w="1760"/>
        <w:tblGridChange w:id="0">
          <w:tblGrid>
            <w:gridCol w:w="1760"/>
            <w:gridCol w:w="1760"/>
            <w:gridCol w:w="1760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 группа здоровья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 группа здоровья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 группа здоровья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265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</w:tr>
    </w:tbl>
    <w:p w:rsidR="00000000" w:rsidDel="00000000" w:rsidP="00000000" w:rsidRDefault="00000000" w:rsidRPr="00000000" w14:paraId="0000015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Акушерско-гинекологический комплекс</w:t>
      </w:r>
    </w:p>
    <w:p w:rsidR="00000000" w:rsidDel="00000000" w:rsidP="00000000" w:rsidRDefault="00000000" w:rsidRPr="00000000" w14:paraId="0000015B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Особое внимание уделяется женщинам детородного возраста. При выявлении какой-либо патологии женщина заочно передается врачом-гинекологом участковому терапевту и становится на «Д» - учет по данному заболеванию.</w:t>
      </w:r>
    </w:p>
    <w:p w:rsidR="00000000" w:rsidDel="00000000" w:rsidP="00000000" w:rsidRDefault="00000000" w:rsidRPr="00000000" w14:paraId="0000015C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В 2016 году было передано из женских консультаций</w:t>
      </w:r>
    </w:p>
    <w:tbl>
      <w:tblPr>
        <w:tblStyle w:val="Table6"/>
        <w:tblW w:w="3907.9999999999995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2410"/>
        <w:gridCol w:w="749"/>
        <w:gridCol w:w="749"/>
        <w:tblGridChange w:id="0">
          <w:tblGrid>
            <w:gridCol w:w="2410"/>
            <w:gridCol w:w="749"/>
            <w:gridCol w:w="749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Нозология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2015г.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2016г.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Гипертоническая болезнь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Анемия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6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Возрастной состав женщин детородного возраста на участке в 2016г.</w:t>
      </w:r>
    </w:p>
    <w:tbl>
      <w:tblPr>
        <w:tblStyle w:val="Table7"/>
        <w:tblW w:w="3079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862"/>
        <w:gridCol w:w="1217"/>
        <w:tblGridChange w:id="0">
          <w:tblGrid>
            <w:gridCol w:w="1862"/>
            <w:gridCol w:w="1217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Возрастной период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Количество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18 - 19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20 - 29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180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30 – 39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78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40 – 45 лет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370</w:t>
            </w:r>
          </w:p>
        </w:tc>
      </w:tr>
    </w:tbl>
    <w:p w:rsidR="00000000" w:rsidDel="00000000" w:rsidP="00000000" w:rsidRDefault="00000000" w:rsidRPr="00000000" w14:paraId="0000017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поликлинике работает смотровой кабинет. Все женщины, при обращении, осматриваются в смотровом кабинете или у врача-гинеколога в женской консультации. В 2016 г осмотрено в смотровом кабинете поликлиники 378 женщин, из них выявлено 27 патологий.</w:t>
      </w:r>
    </w:p>
    <w:p w:rsidR="00000000" w:rsidDel="00000000" w:rsidP="00000000" w:rsidRDefault="00000000" w:rsidRPr="00000000" w14:paraId="0000017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Выявленная патология по участку в 2016 году</w:t>
      </w:r>
    </w:p>
    <w:tbl>
      <w:tblPr>
        <w:tblStyle w:val="Table8"/>
        <w:tblW w:w="3485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987"/>
        <w:gridCol w:w="749"/>
        <w:gridCol w:w="749"/>
        <w:tblGridChange w:id="0">
          <w:tblGrid>
            <w:gridCol w:w="1987"/>
            <w:gridCol w:w="749"/>
            <w:gridCol w:w="749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Заболевание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2015г.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2016г.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Миома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Эрозия шейки матки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Полипы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Кольпит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Онкозаболевания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 w14:paraId="0000018E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Инфекционная безопасность</w:t>
      </w:r>
    </w:p>
    <w:p w:rsidR="00000000" w:rsidDel="00000000" w:rsidP="00000000" w:rsidRDefault="00000000" w:rsidRPr="00000000" w14:paraId="0000019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Значительное место в обеспечении инфекционной безопасности занимает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проведение противоэпидемических мероприятий.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Вопросы организации противоэпидемических мероприятий регламентируются Санитарно-эпидемиологическими правилами СП 3.1./3.21379-03 «Общие требования по профилактике инфекционных и паразитарных болезней».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Профилактика инфекционных болезней состоит из комплекса противоэпидемических мероприятий, направленных на источник инфекции, на прерывание путей передачи возбудителей и повышение невосприимчивости населения. Для каждого инфекционного заболевания характерна специфичность эпидемического процесса, которая определяется особенностями возбудителя, механизмом передачи его новому хозяину и распространения, зависит от специфики локализации возбудителя в организме человека, возраста, состояния иммунитета и других обстоятельств.</w:t>
      </w:r>
    </w:p>
    <w:p w:rsidR="00000000" w:rsidDel="00000000" w:rsidP="00000000" w:rsidRDefault="00000000" w:rsidRPr="00000000" w14:paraId="0000019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поликлинике работает инфекционный кабинет, в котором врач-инфекционист ведет прием больных, контролирует проведение профилактических прививок и обследование очагов инфекционных заболеваний.</w:t>
      </w:r>
    </w:p>
    <w:p w:rsidR="00000000" w:rsidDel="00000000" w:rsidP="00000000" w:rsidRDefault="00000000" w:rsidRPr="00000000" w14:paraId="00000193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Очаги инфекционных заболеваний на участке в 2016г.</w:t>
      </w:r>
    </w:p>
    <w:tbl>
      <w:tblPr>
        <w:tblStyle w:val="Table9"/>
        <w:tblW w:w="3637.0000000000005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2139"/>
        <w:gridCol w:w="749"/>
        <w:gridCol w:w="749"/>
        <w:tblGridChange w:id="0">
          <w:tblGrid>
            <w:gridCol w:w="2139"/>
            <w:gridCol w:w="749"/>
            <w:gridCol w:w="749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Нозология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2015г.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2016г.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Дизентерия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Острый гастроэнтерит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Сальмонеллез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A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Инфекционная заболеваемость на участке находится в пределах среднестатистических норм. </w:t>
      </w:r>
    </w:p>
    <w:p w:rsidR="00000000" w:rsidDel="00000000" w:rsidP="00000000" w:rsidRDefault="00000000" w:rsidRPr="00000000" w14:paraId="000001A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Противоэпидемические мероприятия при выявлении инфекционного больного организовывает врач, а я, как медсестра обеспечиваю проведение текущей и заключительной дезинфекции в квартирных очагах, провожу санитарно-гигиеническое обучение больного и его родственников, с последующей сдачей документации в инфекционный кабинет. </w:t>
      </w:r>
    </w:p>
    <w:p w:rsidR="00000000" w:rsidDel="00000000" w:rsidP="00000000" w:rsidRDefault="00000000" w:rsidRPr="00000000" w14:paraId="000001A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За контактными с острой дизентерией, гастроэнтеритом, сальмонеллезом наблюдение проводится в течение семи дней с ежедневным посещением, измерением температуры тела, осмотром стула. Всем декретированным берется анализ кала на дизентерийную группу.</w:t>
      </w:r>
    </w:p>
    <w:p w:rsidR="00000000" w:rsidDel="00000000" w:rsidP="00000000" w:rsidRDefault="00000000" w:rsidRPr="00000000" w14:paraId="000001A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За контактными с дифтерией наблюдение проводится в течение семи дней, с обязательным забором мазка из зева и носа на BL. Не привитым показана прививка против дифтерии. При этом контактными считаются не только те, кто проживает в квартире, но и проживающие на одной площадке.</w:t>
      </w:r>
    </w:p>
    <w:p w:rsidR="00000000" w:rsidDel="00000000" w:rsidP="00000000" w:rsidRDefault="00000000" w:rsidRPr="00000000" w14:paraId="000001A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За контактными с вирусным гепатитом наблюдение ведется 35 дней с посещением один раз в неделю, осмотром кожных покровов и слизистых, цветом мочи, измерением температуры тела. Все данные о контактных фиксируются в амбулаторную карту.</w:t>
      </w:r>
    </w:p>
    <w:p w:rsidR="00000000" w:rsidDel="00000000" w:rsidP="00000000" w:rsidRDefault="00000000" w:rsidRPr="00000000" w14:paraId="000001A7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Стационары на дому</w:t>
      </w:r>
    </w:p>
    <w:p w:rsidR="00000000" w:rsidDel="00000000" w:rsidP="00000000" w:rsidRDefault="00000000" w:rsidRPr="00000000" w14:paraId="000001A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связи с сокращение коек в стационарах, их загруженностью, имеется трудности с госпитализацией больных. Только 50-60 % больных, из числа нуждающихся госпитализируются ежегодно. В связи с этим развертывание стационаров на дому имеет огромное значение. За такими больными требуется особый уход, так как в ряде случаев это имеет даже большее значение, чем лекарственная терапия.</w:t>
      </w:r>
    </w:p>
    <w:p w:rsidR="00000000" w:rsidDel="00000000" w:rsidP="00000000" w:rsidRDefault="00000000" w:rsidRPr="00000000" w14:paraId="000001A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Я, как участковая медсестра рассказываю родственникам больного о правилах ухода, обучаю необходимым навыкам - умывать, ухаживать за полостью рта, правильно кормить, переодевать, перестилать постель, подмывать, ставить клизмы, проводить мероприятия по профилактике пролежней - кожу обрабатывать камфорным спиртом, по возможности больного чаще переворачивать и другие мероприятия.</w:t>
      </w:r>
    </w:p>
    <w:p w:rsidR="00000000" w:rsidDel="00000000" w:rsidP="00000000" w:rsidRDefault="00000000" w:rsidRPr="00000000" w14:paraId="000001A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Стационары на дому за 2016 г.</w:t>
      </w:r>
    </w:p>
    <w:tbl>
      <w:tblPr>
        <w:tblStyle w:val="Table10"/>
        <w:tblW w:w="8505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3828"/>
        <w:gridCol w:w="1409"/>
        <w:gridCol w:w="1696"/>
        <w:gridCol w:w="1572"/>
        <w:tblGridChange w:id="0">
          <w:tblGrid>
            <w:gridCol w:w="3828"/>
            <w:gridCol w:w="1409"/>
            <w:gridCol w:w="1696"/>
            <w:gridCol w:w="1572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Группы заболеваний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Кол-во случаев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Кол-во посещений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Кол-во инъекций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Сердечнососудистые заболевания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Острое нарушение мозгового кровообращения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Заболевания опорно-двигательного аппарата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Заболевания органов дыхания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1C0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 возрастному составу наибольшее количество стационаров на дому организовано для лиц престарелого возраста. Из приведенных данных видно, что преобладающей патологией является острое нарушение мозгового кровообращения, поэтому важную роль в лечении и реабилитации таких больных играет надлежащий уход.</w:t>
      </w:r>
    </w:p>
    <w:p w:rsidR="00000000" w:rsidDel="00000000" w:rsidP="00000000" w:rsidRDefault="00000000" w:rsidRPr="00000000" w14:paraId="000001C2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Профилактическая работа</w:t>
      </w:r>
    </w:p>
    <w:p w:rsidR="00000000" w:rsidDel="00000000" w:rsidP="00000000" w:rsidRDefault="00000000" w:rsidRPr="00000000" w14:paraId="000001C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Профилактика –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 же направленных на устранение вредного влияния, на здоровье человека факторов среды его обитания. </w:t>
      </w:r>
    </w:p>
    <w:p w:rsidR="00000000" w:rsidDel="00000000" w:rsidP="00000000" w:rsidRDefault="00000000" w:rsidRPr="00000000" w14:paraId="000001C4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В работе участковой медицинской сестры приоритетным является профилактическое направление.</w:t>
      </w:r>
    </w:p>
    <w:p w:rsidR="00000000" w:rsidDel="00000000" w:rsidP="00000000" w:rsidRDefault="00000000" w:rsidRPr="00000000" w14:paraId="000001C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проведении профилактических мероприятий важную роль играют профилактические прививки. Большое внимание на участке уделяется</w:t>
      </w:r>
    </w:p>
    <w:p w:rsidR="00000000" w:rsidDel="00000000" w:rsidP="00000000" w:rsidRDefault="00000000" w:rsidRPr="00000000" w14:paraId="000001C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своевременному проведению профилактических прививок против дифтерии, гриппа, кори, коревой краснухи, клещевого энцефалита, гепатита В. Прививки против дифтерии делаются согласно методическим указаниям МУ-3.1.1082-01 «Эпидемиологического надзора за дифтерийной инфекцией» от 01.01.2002 г. С 01.06.2002 г введены санитарно-эпидемиологические правила СП 3.1.2.1108-02 «Профилактика дифтерии» - утверждены главным государственным санитарным врачом РФ 20.02.2002 г.</w:t>
      </w:r>
    </w:p>
    <w:p w:rsidR="00000000" w:rsidDel="00000000" w:rsidP="00000000" w:rsidRDefault="00000000" w:rsidRPr="00000000" w14:paraId="000001C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Привито населения по участку против дифтерии на 2016г.</w:t>
      </w:r>
    </w:p>
    <w:tbl>
      <w:tblPr>
        <w:tblStyle w:val="Table11"/>
        <w:tblW w:w="6119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2714"/>
        <w:gridCol w:w="1178"/>
        <w:gridCol w:w="957"/>
        <w:gridCol w:w="1270"/>
        <w:tblGridChange w:id="0">
          <w:tblGrid>
            <w:gridCol w:w="2714"/>
            <w:gridCol w:w="1178"/>
            <w:gridCol w:w="957"/>
            <w:gridCol w:w="1270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Подлежало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Привито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% привитых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Неорганизованное население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255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92,1%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Организованное население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1161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1129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97%</w:t>
            </w:r>
          </w:p>
        </w:tc>
      </w:tr>
    </w:tbl>
    <w:p w:rsidR="00000000" w:rsidDel="00000000" w:rsidP="00000000" w:rsidRDefault="00000000" w:rsidRPr="00000000" w14:paraId="000001D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 2007 г. Действует приказ № 94 от 22.03.2007 «О дополнительной иммунизации населения хабаровского края и приказ Министерства здравоохранения Хабаровского края и ТУ Роспотребнадзора по Хабаровскому краю №19/6 от 24.01.2007 г. «О дополнительной иммунизации населения Хабаровского края» против:</w:t>
      </w:r>
    </w:p>
    <w:p w:rsidR="00000000" w:rsidDel="00000000" w:rsidP="00000000" w:rsidRDefault="00000000" w:rsidRPr="00000000" w14:paraId="000001D7">
      <w:pPr>
        <w:tabs>
          <w:tab w:val="left" w:pos="144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Вирусного гепатита «В» в возрасте от 18 до 55 лет не болевших и ранее не привитых;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Краснухи - женского населения в возрасте от 18 до 25 лет не болевших и ранее не привитых;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Гриппа - медицинские работники, работники образовательных учреждений и лица старше 60-ти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B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Привито населения по участку против гепатита В на 2016 г</w:t>
      </w:r>
    </w:p>
    <w:tbl>
      <w:tblPr>
        <w:tblStyle w:val="Table12"/>
        <w:tblW w:w="3405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178"/>
        <w:gridCol w:w="957"/>
        <w:gridCol w:w="1270"/>
        <w:tblGridChange w:id="0">
          <w:tblGrid>
            <w:gridCol w:w="1178"/>
            <w:gridCol w:w="957"/>
            <w:gridCol w:w="1270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Подлежало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Привито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% привитых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1114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1058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95%</w:t>
            </w:r>
          </w:p>
        </w:tc>
      </w:tr>
    </w:tbl>
    <w:p w:rsidR="00000000" w:rsidDel="00000000" w:rsidP="00000000" w:rsidRDefault="00000000" w:rsidRPr="00000000" w14:paraId="000001E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Привито населения по участку против краснухи на 2016 г.</w:t>
      </w:r>
    </w:p>
    <w:tbl>
      <w:tblPr>
        <w:tblStyle w:val="Table13"/>
        <w:tblW w:w="3405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178"/>
        <w:gridCol w:w="957"/>
        <w:gridCol w:w="1270"/>
        <w:tblGridChange w:id="0">
          <w:tblGrid>
            <w:gridCol w:w="1178"/>
            <w:gridCol w:w="957"/>
            <w:gridCol w:w="1270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Подлежало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Привито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% привитых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97,3%</w:t>
            </w:r>
          </w:p>
        </w:tc>
      </w:tr>
    </w:tbl>
    <w:p w:rsidR="00000000" w:rsidDel="00000000" w:rsidP="00000000" w:rsidRDefault="00000000" w:rsidRPr="00000000" w14:paraId="000001E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Постоянно ведется разъяснительная работа с населением о важности проведения профилактических прививок. В результате проведения профилактических прививок против дифтерии, заболеваемость дифтерией на участке среди населения в течение последних лет не наблюдается.</w:t>
      </w:r>
    </w:p>
    <w:p w:rsidR="00000000" w:rsidDel="00000000" w:rsidP="00000000" w:rsidRDefault="00000000" w:rsidRPr="00000000" w14:paraId="000001EC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 целью профилактики гриппа, каждую осень проводится вакцинация против гриппа среди неорганизованного населения, и среди работающих на предприятиях, расположенных на территории участка № 56.</w:t>
      </w:r>
    </w:p>
    <w:p w:rsidR="00000000" w:rsidDel="00000000" w:rsidP="00000000" w:rsidRDefault="00000000" w:rsidRPr="00000000" w14:paraId="000001ED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Привито населения на предприятиях участка против гриппа в 2016г.</w:t>
      </w:r>
    </w:p>
    <w:tbl>
      <w:tblPr>
        <w:tblStyle w:val="Table14"/>
        <w:tblW w:w="3405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178"/>
        <w:gridCol w:w="957"/>
        <w:gridCol w:w="1270"/>
        <w:tblGridChange w:id="0">
          <w:tblGrid>
            <w:gridCol w:w="1178"/>
            <w:gridCol w:w="957"/>
            <w:gridCol w:w="1270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Подлежало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Привито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% привитых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95%</w:t>
            </w:r>
          </w:p>
        </w:tc>
      </w:tr>
    </w:tbl>
    <w:p w:rsidR="00000000" w:rsidDel="00000000" w:rsidP="00000000" w:rsidRDefault="00000000" w:rsidRPr="00000000" w14:paraId="000001F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 2005 года в поликлинике стали проводить вакцинацию против кори у населения в возрасте с 18 до 35 лет.</w:t>
      </w:r>
    </w:p>
    <w:p w:rsidR="00000000" w:rsidDel="00000000" w:rsidP="00000000" w:rsidRDefault="00000000" w:rsidRPr="00000000" w14:paraId="000001F7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Привито населения участка против кори на 2016г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5"/>
        <w:tblW w:w="3405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178"/>
        <w:gridCol w:w="957"/>
        <w:gridCol w:w="1270"/>
        <w:tblGridChange w:id="0">
          <w:tblGrid>
            <w:gridCol w:w="1178"/>
            <w:gridCol w:w="957"/>
            <w:gridCol w:w="1270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Подлежало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Привито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% привитых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445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423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95%</w:t>
            </w:r>
          </w:p>
        </w:tc>
      </w:tr>
    </w:tbl>
    <w:p w:rsidR="00000000" w:rsidDel="00000000" w:rsidP="00000000" w:rsidRDefault="00000000" w:rsidRPr="00000000" w14:paraId="000001F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Ежемесячно с врачом планируем прививки согласно прививочного календаря организованного и неорганизованного населения участка. Все данные о прививках заносятся в медицинскую документацию: амбулаторную карту, прививочный сертификат Ф-157/у, Ф-63/у «Карта учета профилактических прививок».</w:t>
      </w:r>
    </w:p>
    <w:p w:rsidR="00000000" w:rsidDel="00000000" w:rsidP="00000000" w:rsidRDefault="00000000" w:rsidRPr="00000000" w14:paraId="00000201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Флюорографическое обследование</w:t>
      </w:r>
    </w:p>
    <w:p w:rsidR="00000000" w:rsidDel="00000000" w:rsidP="00000000" w:rsidRDefault="00000000" w:rsidRPr="00000000" w14:paraId="0000020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Есть медицинское выражение «Болезнь легче предупредить, чем лечить». </w:t>
      </w:r>
    </w:p>
    <w:p w:rsidR="00000000" w:rsidDel="00000000" w:rsidP="00000000" w:rsidRDefault="00000000" w:rsidRPr="00000000" w14:paraId="0000020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Флюорография позволяет выявлять туберкулез, некоторые профессиональные заболевания легких, неспецифические воспалительные процессы, опухоли легких и средостения, поражения плевры и диафрагмы, сердечно-сосудистые заболевания.</w:t>
      </w:r>
    </w:p>
    <w:p w:rsidR="00000000" w:rsidDel="00000000" w:rsidP="00000000" w:rsidRDefault="00000000" w:rsidRPr="00000000" w14:paraId="0000020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Особое внимание в работе на участке уделяется флюорографическому обследованию. На все население участка заведена флюоротека. В ней выделено:</w:t>
      </w:r>
    </w:p>
    <w:p w:rsidR="00000000" w:rsidDel="00000000" w:rsidP="00000000" w:rsidRDefault="00000000" w:rsidRPr="00000000" w14:paraId="00000205">
      <w:pPr>
        <w:tabs>
          <w:tab w:val="left" w:pos="144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работающее население,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неорганизованное население,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группа риска,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нетранспортабельные больные,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работающее население на предприятиях, расположенных на территории участка.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Все вышеперечисленные категории подлежат обязательному флюорографическому обследованию 1 раз в год.</w:t>
      </w:r>
    </w:p>
    <w:p w:rsidR="00000000" w:rsidDel="00000000" w:rsidP="00000000" w:rsidRDefault="00000000" w:rsidRPr="00000000" w14:paraId="0000020B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обязательном порядке я приглашаю на флюорографию неорганизованное население, поэтому процент обследования с каждым годом увеличивается. У нетранспортабельных больных забирается мокрота на бактериологическое исследование.</w:t>
      </w:r>
    </w:p>
    <w:p w:rsidR="00000000" w:rsidDel="00000000" w:rsidP="00000000" w:rsidRDefault="00000000" w:rsidRPr="00000000" w14:paraId="0000020C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течение года я многократно посещаю организации, активно приглашаю на флюорографию, работаю с руководителями предприятий. Ежемесячно сдаю отчет по обследованию населения участка и предприятиям.</w:t>
      </w:r>
    </w:p>
    <w:p w:rsidR="00000000" w:rsidDel="00000000" w:rsidP="00000000" w:rsidRDefault="00000000" w:rsidRPr="00000000" w14:paraId="0000020D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Флюорографическое обследование населения участка за 2016 год </w:t>
      </w: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8"/>
          <w:szCs w:val="28"/>
          <w:rtl w:val="0"/>
        </w:rPr>
        <w:t xml:space="preserve">(в сравнении с 2015г.)</w:t>
      </w:r>
      <w:r w:rsidDel="00000000" w:rsidR="00000000" w:rsidRPr="00000000">
        <w:rPr>
          <w:rtl w:val="0"/>
        </w:rPr>
      </w:r>
    </w:p>
    <w:tbl>
      <w:tblPr>
        <w:tblStyle w:val="Table16"/>
        <w:tblW w:w="6140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749"/>
        <w:gridCol w:w="2456"/>
        <w:gridCol w:w="1332"/>
        <w:gridCol w:w="1603"/>
        <w:tblGridChange w:id="0">
          <w:tblGrid>
            <w:gridCol w:w="749"/>
            <w:gridCol w:w="2456"/>
            <w:gridCol w:w="1332"/>
            <w:gridCol w:w="1603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Год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Подлежало обследованию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Обследовано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% обследования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2015г.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239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95,6%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2016г.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255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96%</w:t>
            </w:r>
          </w:p>
        </w:tc>
      </w:tr>
    </w:tbl>
    <w:p w:rsidR="00000000" w:rsidDel="00000000" w:rsidP="00000000" w:rsidRDefault="00000000" w:rsidRPr="00000000" w14:paraId="0000021C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Флюорографическое обследование предприятий участка за 2016 год</w:t>
      </w:r>
    </w:p>
    <w:tbl>
      <w:tblPr>
        <w:tblStyle w:val="Table17"/>
        <w:tblW w:w="7983.999999999998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2593"/>
        <w:gridCol w:w="2456"/>
        <w:gridCol w:w="1332"/>
        <w:gridCol w:w="1603"/>
        <w:tblGridChange w:id="0">
          <w:tblGrid>
            <w:gridCol w:w="2593"/>
            <w:gridCol w:w="2456"/>
            <w:gridCol w:w="1332"/>
            <w:gridCol w:w="1603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Предприятие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Подлежало обследованию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Обследовано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% обследования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Филиал стоматологии № 22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Магазин семейный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22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Особое внимание уделяется обследованию нетранспортабельных больных с длительным кашлевым синдромом, которое осуществляется путем исследования мокроты на ВК. На участке таких больных 6 человек и все они обследованы бактериоскопически.</w:t>
      </w:r>
    </w:p>
    <w:p w:rsidR="00000000" w:rsidDel="00000000" w:rsidP="00000000" w:rsidRDefault="00000000" w:rsidRPr="00000000" w14:paraId="0000022C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Санитарно-просветительная работа</w:t>
      </w:r>
    </w:p>
    <w:p w:rsidR="00000000" w:rsidDel="00000000" w:rsidP="00000000" w:rsidRDefault="00000000" w:rsidRPr="00000000" w14:paraId="0000022D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Санитарно-просветительная работа - это комплекс мероприятий по пропаганде здорового образа жизни среди населения. Основной ее целью является повышение общей и санитарной культуры общества. </w:t>
      </w:r>
    </w:p>
    <w:p w:rsidR="00000000" w:rsidDel="00000000" w:rsidP="00000000" w:rsidRDefault="00000000" w:rsidRPr="00000000" w14:paraId="0000022E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Большое внимание уделяю санитарно-просветительской работе, как на участке, так и в поликлинике.</w:t>
      </w:r>
    </w:p>
    <w:p w:rsidR="00000000" w:rsidDel="00000000" w:rsidP="00000000" w:rsidRDefault="00000000" w:rsidRPr="00000000" w14:paraId="0000022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Проведенные беседы за 2016г.</w:t>
      </w:r>
    </w:p>
    <w:tbl>
      <w:tblPr>
        <w:tblStyle w:val="Table18"/>
        <w:tblW w:w="8505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7288"/>
        <w:gridCol w:w="1217"/>
        <w:tblGridChange w:id="0">
          <w:tblGrid>
            <w:gridCol w:w="7288"/>
            <w:gridCol w:w="1217"/>
          </w:tblGrid>
        </w:tblGridChange>
      </w:tblGrid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Темы бесед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Количество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«О борьбе с вредными привычками»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«Уход за тяжелобольными»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«Язвенная болезнь и ее осложнения»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«Профилактика пролежней»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«Грипп и его профилактика»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«О важности профилактических обследований для выявления заболеваний на ранних стадиях»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Всего: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line="360" w:lineRule="auto"/>
              <w:jc w:val="both"/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130</w:t>
            </w:r>
          </w:p>
        </w:tc>
      </w:tr>
    </w:tbl>
    <w:p w:rsidR="00000000" w:rsidDel="00000000" w:rsidP="00000000" w:rsidRDefault="00000000" w:rsidRPr="00000000" w14:paraId="0000024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3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24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Улучшение эффективности работы лечебного учреждения во многом зависит от профессионализма и личных качеств сестринского персонала. Новые технологии в здравоохранении, новые методы диагностики и лечения, возросшие требования к качеству сестринского ухода – все это вызывает необходимость совершенствовать свои знания и умения, по- новому понимать роль медицинской сестры в практическом здравоохранении.</w:t>
      </w:r>
    </w:p>
    <w:p w:rsidR="00000000" w:rsidDel="00000000" w:rsidP="00000000" w:rsidRDefault="00000000" w:rsidRPr="00000000" w14:paraId="0000024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Лично для себя считаю необходимым:</w:t>
      </w:r>
    </w:p>
    <w:p w:rsidR="00000000" w:rsidDel="00000000" w:rsidP="00000000" w:rsidRDefault="00000000" w:rsidRPr="00000000" w14:paraId="00000247">
      <w:pPr>
        <w:tabs>
          <w:tab w:val="left" w:pos="144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Повышать свой профессиональный уровень.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Посещать ежемесячно сестринскую конференцию в поликлинике.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Повышать качество медицинского обслуживания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tabs>
          <w:tab w:val="left" w:pos="144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Добиваться улучшения показателей по флюорографическому обследованию населения и группы риска, закрепленного за мною участка.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D">
      <w:pPr>
        <w:spacing w:line="360" w:lineRule="auto"/>
        <w:ind w:left="0" w:firstLine="709"/>
        <w:jc w:val="both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Литература</w:t>
      </w:r>
    </w:p>
    <w:p w:rsidR="00000000" w:rsidDel="00000000" w:rsidP="00000000" w:rsidRDefault="00000000" w:rsidRPr="00000000" w14:paraId="0000024E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fffff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ffffff"/>
          <w:sz w:val="28"/>
          <w:szCs w:val="28"/>
          <w:rtl w:val="0"/>
        </w:rPr>
        <w:t xml:space="preserve">поликлиника медицинская сестра</w:t>
      </w:r>
    </w:p>
    <w:p w:rsidR="00000000" w:rsidDel="00000000" w:rsidP="00000000" w:rsidRDefault="00000000" w:rsidRPr="00000000" w14:paraId="0000024F">
      <w:pPr>
        <w:spacing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Сборник материалов по организации первичной медико-санитарной помощи Санкт-Петербург 2015г.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Общественное здоровье и здравоохранение Москва 2015г.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Организация работы медицинских сестер амбулаторно-поликлинической службы Москва 2012г.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360" w:lineRule="auto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Журнал « Медицинская сестра» 2013-2016гг.</w:t>
      </w:r>
    </w:p>
    <w:p w:rsidR="00000000" w:rsidDel="00000000" w:rsidP="00000000" w:rsidRDefault="00000000" w:rsidRPr="00000000" w14:paraId="00000253">
      <w:pPr>
        <w:spacing w:line="360" w:lineRule="auto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Журнал «Сестринское дело» » 2013 -2016гг.</w:t>
      </w:r>
    </w:p>
    <w:p w:rsidR="00000000" w:rsidDel="00000000" w:rsidP="00000000" w:rsidRDefault="00000000" w:rsidRPr="00000000" w14:paraId="00000254">
      <w:pPr>
        <w:spacing w:line="360" w:lineRule="auto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Приказ МЗ РФ от 03.12.2012 №1006н «Порядок проведения диспансеризации определенных групп взрослого населения».</w:t>
      </w:r>
    </w:p>
    <w:p w:rsidR="00000000" w:rsidDel="00000000" w:rsidP="00000000" w:rsidRDefault="00000000" w:rsidRPr="00000000" w14:paraId="00000255">
      <w:pPr>
        <w:spacing w:line="360" w:lineRule="auto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7.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Приказ МЗ РФ от 21.03.2014г. .№ 125н «Об утверждении национального календаря профилактических прививок и календаря прививок по эпидемическим показаниям»</w:t>
      </w:r>
    </w:p>
    <w:p w:rsidR="00000000" w:rsidDel="00000000" w:rsidP="00000000" w:rsidRDefault="00000000" w:rsidRPr="00000000" w14:paraId="00000256">
      <w:pPr>
        <w:spacing w:line="360" w:lineRule="auto"/>
        <w:ind w:left="0" w:firstLine="709"/>
        <w:jc w:val="center"/>
        <w:rPr>
          <w:rFonts w:ascii="Cambria" w:cs="Cambria" w:eastAsia="Cambria" w:hAnsi="Cambria"/>
          <w:b w:val="0"/>
          <w:color w:val="fffff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ffffff"/>
          <w:sz w:val="28"/>
          <w:szCs w:val="28"/>
          <w:rtl w:val="0"/>
        </w:rPr>
        <w:t xml:space="preserve">Размещено на Allbest.ru</w:t>
      </w:r>
    </w:p>
    <w:p w:rsidR="00000000" w:rsidDel="00000000" w:rsidP="00000000" w:rsidRDefault="00000000" w:rsidRPr="00000000" w14:paraId="0000025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134" w:top="1134" w:left="1134" w:right="1134" w:header="0" w:footer="0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903" w:hanging="194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tfoms22.ru/docs/prikazi-minsoczdravrazvitiya/676--03122012-1006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