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8" w:rsidRPr="00C71128" w:rsidRDefault="00C71128" w:rsidP="00844976">
      <w:pPr>
        <w:widowControl w:val="0"/>
        <w:tabs>
          <w:tab w:val="left" w:pos="142"/>
        </w:tabs>
        <w:spacing w:line="360" w:lineRule="auto"/>
        <w:jc w:val="center"/>
        <w:rPr>
          <w:sz w:val="28"/>
          <w:szCs w:val="28"/>
        </w:rPr>
      </w:pPr>
      <w:r w:rsidRPr="00C71128">
        <w:rPr>
          <w:sz w:val="28"/>
          <w:szCs w:val="28"/>
        </w:rPr>
        <w:t>Содержание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830EC1">
        <w:rPr>
          <w:sz w:val="28"/>
          <w:szCs w:val="28"/>
        </w:rPr>
        <w:fldChar w:fldCharType="begin"/>
      </w:r>
      <w:r w:rsidRPr="00830EC1">
        <w:rPr>
          <w:sz w:val="28"/>
          <w:szCs w:val="28"/>
        </w:rPr>
        <w:instrText xml:space="preserve"> TOC \o "1-3" \h \z \u </w:instrText>
      </w:r>
      <w:r w:rsidRPr="00830EC1">
        <w:rPr>
          <w:sz w:val="28"/>
          <w:szCs w:val="28"/>
        </w:rPr>
        <w:fldChar w:fldCharType="separate"/>
      </w:r>
      <w:hyperlink w:anchor="_Toc405837593" w:history="1">
        <w:r w:rsidRPr="00830EC1">
          <w:rPr>
            <w:rStyle w:val="af8"/>
            <w:noProof/>
            <w:sz w:val="28"/>
            <w:szCs w:val="28"/>
          </w:rPr>
          <w:t>Введение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_Toc405837593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3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4" w:history="1">
        <w:r w:rsidRPr="00830EC1">
          <w:rPr>
            <w:rStyle w:val="af8"/>
            <w:noProof/>
            <w:sz w:val="28"/>
            <w:szCs w:val="28"/>
          </w:rPr>
          <w:t>1 Организация и осуществление исполнения доходной части бюджетной системы. Распределение доходов между уровнями бюджетной системы РФ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_Toc405837594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5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5" w:history="1">
        <w:r w:rsidRPr="00830EC1">
          <w:rPr>
            <w:rStyle w:val="af8"/>
            <w:noProof/>
            <w:sz w:val="28"/>
            <w:szCs w:val="28"/>
          </w:rPr>
          <w:t>2 Предоставление льгот и отсрочек по уплате налогов и платежей в бюджеты и государственные внебюджетные фонды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_Toc405837595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14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6" w:history="1">
        <w:r w:rsidRPr="00830EC1">
          <w:rPr>
            <w:rStyle w:val="af8"/>
            <w:noProof/>
            <w:sz w:val="28"/>
            <w:szCs w:val="28"/>
          </w:rPr>
          <w:t>3 Администрирование платежей, возврат налогоплательщику излишне изысканных и уплаченных налогов и других платежей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_Toc405837596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20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7" w:history="1">
        <w:r w:rsidRPr="00830EC1">
          <w:rPr>
            <w:rStyle w:val="af8"/>
            <w:noProof/>
            <w:sz w:val="28"/>
            <w:szCs w:val="28"/>
          </w:rPr>
          <w:t>4 Организация и анализ информации о состоянии доходной части бюджетов всех уровней бюджетной системы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_Toc405837597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31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8" w:history="1">
        <w:r w:rsidRPr="00830EC1">
          <w:rPr>
            <w:rStyle w:val="af8"/>
            <w:noProof/>
            <w:sz w:val="28"/>
            <w:szCs w:val="28"/>
          </w:rPr>
          <w:t>5 Краткосрочное прогнозирование налоговых поступлений на уровне отделов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_Toc405837598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33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599" w:history="1">
        <w:r w:rsidRPr="00830EC1">
          <w:rPr>
            <w:rStyle w:val="af8"/>
            <w:noProof/>
            <w:sz w:val="28"/>
            <w:szCs w:val="28"/>
          </w:rPr>
          <w:t>6 Работа с налогоплательщиками по сдаче налоговой отчетности, уплате налогов и сборов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_Toc405837599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35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0" w:history="1">
        <w:r w:rsidRPr="00830EC1">
          <w:rPr>
            <w:rStyle w:val="af8"/>
            <w:noProof/>
            <w:sz w:val="28"/>
            <w:szCs w:val="28"/>
          </w:rPr>
          <w:t>7 Информирование налогоплательщиков о состоянии его расчетов с бюджетами всех уровней и внебюджетными фондами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_Toc405837600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38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1" w:history="1">
        <w:r w:rsidRPr="00830EC1">
          <w:rPr>
            <w:rStyle w:val="af8"/>
            <w:noProof/>
            <w:sz w:val="28"/>
            <w:szCs w:val="28"/>
          </w:rPr>
          <w:t>8 Сверка данных по лицевым счетам налогоплательщика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_Toc405837601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40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2" w:history="1">
        <w:r w:rsidRPr="00830EC1">
          <w:rPr>
            <w:rStyle w:val="af8"/>
            <w:noProof/>
            <w:sz w:val="28"/>
            <w:szCs w:val="28"/>
          </w:rPr>
          <w:t>9 Подготовка ответов на письма налогоплательщиков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_Toc405837602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43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3" w:history="1">
        <w:r w:rsidRPr="00830EC1">
          <w:rPr>
            <w:rStyle w:val="af8"/>
            <w:noProof/>
            <w:sz w:val="28"/>
            <w:szCs w:val="28"/>
          </w:rPr>
          <w:t>10 Составление налоговой отчетности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_Toc405837603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44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4" w:history="1">
        <w:r w:rsidRPr="00830EC1">
          <w:rPr>
            <w:rStyle w:val="af8"/>
            <w:noProof/>
            <w:sz w:val="28"/>
            <w:szCs w:val="28"/>
          </w:rPr>
          <w:t>Заключение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_Toc405837604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47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830EC1" w:rsidRPr="00830EC1" w:rsidRDefault="00830EC1" w:rsidP="00830EC1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05837605" w:history="1">
        <w:r w:rsidRPr="00830EC1">
          <w:rPr>
            <w:rStyle w:val="af8"/>
            <w:noProof/>
            <w:sz w:val="28"/>
            <w:szCs w:val="28"/>
          </w:rPr>
          <w:t>Список использ</w:t>
        </w:r>
        <w:r w:rsidRPr="00830EC1">
          <w:rPr>
            <w:rStyle w:val="af8"/>
            <w:noProof/>
            <w:sz w:val="28"/>
            <w:szCs w:val="28"/>
          </w:rPr>
          <w:t>о</w:t>
        </w:r>
        <w:r w:rsidRPr="00830EC1">
          <w:rPr>
            <w:rStyle w:val="af8"/>
            <w:noProof/>
            <w:sz w:val="28"/>
            <w:szCs w:val="28"/>
          </w:rPr>
          <w:t>ванных источников</w:t>
        </w:r>
        <w:r w:rsidRPr="00830EC1">
          <w:rPr>
            <w:noProof/>
            <w:webHidden/>
            <w:sz w:val="28"/>
            <w:szCs w:val="28"/>
          </w:rPr>
          <w:tab/>
        </w:r>
        <w:r w:rsidRPr="00830EC1">
          <w:rPr>
            <w:noProof/>
            <w:webHidden/>
            <w:sz w:val="28"/>
            <w:szCs w:val="28"/>
          </w:rPr>
          <w:fldChar w:fldCharType="begin"/>
        </w:r>
        <w:r w:rsidRPr="00830EC1">
          <w:rPr>
            <w:noProof/>
            <w:webHidden/>
            <w:sz w:val="28"/>
            <w:szCs w:val="28"/>
          </w:rPr>
          <w:instrText xml:space="preserve"> PAGEREF _Toc405837605 \h </w:instrText>
        </w:r>
        <w:r w:rsidRPr="00830EC1">
          <w:rPr>
            <w:noProof/>
            <w:webHidden/>
            <w:sz w:val="28"/>
            <w:szCs w:val="28"/>
          </w:rPr>
        </w:r>
        <w:r w:rsidRPr="00830EC1">
          <w:rPr>
            <w:noProof/>
            <w:webHidden/>
            <w:sz w:val="28"/>
            <w:szCs w:val="28"/>
          </w:rPr>
          <w:fldChar w:fldCharType="separate"/>
        </w:r>
        <w:r w:rsidRPr="00830EC1">
          <w:rPr>
            <w:noProof/>
            <w:webHidden/>
            <w:sz w:val="28"/>
            <w:szCs w:val="28"/>
          </w:rPr>
          <w:t>48</w:t>
        </w:r>
        <w:r w:rsidRPr="00830EC1">
          <w:rPr>
            <w:noProof/>
            <w:webHidden/>
            <w:sz w:val="28"/>
            <w:szCs w:val="28"/>
          </w:rPr>
          <w:fldChar w:fldCharType="end"/>
        </w:r>
      </w:hyperlink>
    </w:p>
    <w:p w:rsidR="00C71128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830EC1">
        <w:rPr>
          <w:sz w:val="28"/>
          <w:szCs w:val="28"/>
        </w:rPr>
        <w:fldChar w:fldCharType="end"/>
      </w:r>
    </w:p>
    <w:p w:rsidR="00C71128" w:rsidRPr="00C71128" w:rsidRDefault="00C71128" w:rsidP="00830EC1">
      <w:pPr>
        <w:pStyle w:val="2"/>
      </w:pPr>
      <w:r w:rsidRPr="00C71128">
        <w:br w:type="page"/>
      </w:r>
      <w:bookmarkStart w:id="0" w:name="_Toc405837593"/>
      <w:r w:rsidR="00830EC1">
        <w:lastRenderedPageBreak/>
        <w:t>Введение</w:t>
      </w:r>
      <w:bookmarkEnd w:id="0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Октябрьскому району г. Барнаула</w:t>
      </w:r>
      <w:r w:rsidRPr="00C71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углубление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специальности;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написания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предстояло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задачи: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фондами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нормативами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отчислений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отсрочек.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отсрочек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списками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пользующихся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льготами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отсрочками.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администрирования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изысканных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РФ.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краткосрочного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уплате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налогообложения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характера.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фондами.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лицевым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налогообложения.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базой.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проделанной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заданиях.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br w:type="page"/>
      </w:r>
    </w:p>
    <w:p w:rsidR="00C71128" w:rsidRPr="00C71128" w:rsidRDefault="00C71128" w:rsidP="00830EC1">
      <w:pPr>
        <w:pStyle w:val="2"/>
      </w:pPr>
      <w:bookmarkStart w:id="1" w:name="_Toc309812529"/>
      <w:bookmarkStart w:id="2" w:name="_Toc405837594"/>
      <w:r w:rsidRPr="00C71128">
        <w:lastRenderedPageBreak/>
        <w:t>1</w:t>
      </w:r>
      <w:r>
        <w:t xml:space="preserve"> </w:t>
      </w:r>
      <w:r w:rsidRPr="00C71128">
        <w:t>Организация</w:t>
      </w:r>
      <w:r>
        <w:t xml:space="preserve"> </w:t>
      </w:r>
      <w:r w:rsidRPr="00C71128">
        <w:t>и</w:t>
      </w:r>
      <w:r>
        <w:t xml:space="preserve"> </w:t>
      </w:r>
      <w:r w:rsidRPr="00C71128">
        <w:t>осуществление</w:t>
      </w:r>
      <w:r>
        <w:t xml:space="preserve"> </w:t>
      </w:r>
      <w:r w:rsidRPr="00C71128">
        <w:t>исполнения</w:t>
      </w:r>
      <w:r>
        <w:t xml:space="preserve"> </w:t>
      </w:r>
      <w:r w:rsidRPr="00C71128">
        <w:t>доходной</w:t>
      </w:r>
      <w:r>
        <w:t xml:space="preserve"> </w:t>
      </w:r>
      <w:r w:rsidRPr="00C71128">
        <w:t>части</w:t>
      </w:r>
      <w:r>
        <w:t xml:space="preserve"> </w:t>
      </w:r>
      <w:r w:rsidRPr="00C71128">
        <w:t>бюджетной</w:t>
      </w:r>
      <w:r>
        <w:t xml:space="preserve"> </w:t>
      </w:r>
      <w:r w:rsidRPr="00C71128">
        <w:t>системы.</w:t>
      </w:r>
      <w:r>
        <w:t xml:space="preserve"> </w:t>
      </w:r>
      <w:r w:rsidRPr="00C71128">
        <w:t>Распределение</w:t>
      </w:r>
      <w:r>
        <w:t xml:space="preserve"> </w:t>
      </w:r>
      <w:r w:rsidRPr="00C71128">
        <w:t>доходов</w:t>
      </w:r>
      <w:r>
        <w:t xml:space="preserve"> </w:t>
      </w:r>
      <w:r w:rsidRPr="00C71128">
        <w:t>между</w:t>
      </w:r>
      <w:r>
        <w:t xml:space="preserve"> </w:t>
      </w:r>
      <w:r w:rsidRPr="00C71128">
        <w:t>уровнями</w:t>
      </w:r>
      <w:r>
        <w:t xml:space="preserve"> </w:t>
      </w:r>
      <w:r w:rsidRPr="00C71128">
        <w:t>бюджетной</w:t>
      </w:r>
      <w:r>
        <w:t xml:space="preserve"> </w:t>
      </w:r>
      <w:r w:rsidRPr="00C71128">
        <w:t>системы</w:t>
      </w:r>
      <w:r>
        <w:t xml:space="preserve"> </w:t>
      </w:r>
      <w:r w:rsidRPr="00C71128">
        <w:t>РФ</w:t>
      </w:r>
      <w:bookmarkEnd w:id="1"/>
      <w:bookmarkEnd w:id="2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(представительным)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местного.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плательщики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(юридические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лица),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перечисляют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платежи;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производящие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безналичные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средств;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перечисленные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(ФНС),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контролирующие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обязательств,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регулирующие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Источниками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уплачиваемые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уплачиваемых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пропорция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бюджете.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лицевые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банках.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учету,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возврату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казначейского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плательщик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перечислить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операций: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перечисление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бюджете;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лицевые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ежедневно.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выпиской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копиями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систематизированы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классификации,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присвоены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коды.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присвоенным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кодам.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Регулирующие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отдельно.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ежедневный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государства.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вышестоящий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этого,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нарастающим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итогом,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месячные,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квартальные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контролируют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органы.</w:t>
      </w:r>
      <w:r>
        <w:rPr>
          <w:sz w:val="28"/>
          <w:szCs w:val="28"/>
        </w:rPr>
        <w:t xml:space="preserve"> </w:t>
      </w:r>
    </w:p>
    <w:p w:rsidR="00C71128" w:rsidRPr="00180CC9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0F760D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за</w:t>
      </w:r>
      <w:r>
        <w:rPr>
          <w:sz w:val="28"/>
          <w:szCs w:val="28"/>
        </w:rPr>
        <w:t xml:space="preserve"> 2011 </w:t>
      </w:r>
      <w:r w:rsidRPr="0070406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0406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70406A">
        <w:rPr>
          <w:sz w:val="28"/>
          <w:szCs w:val="28"/>
        </w:rPr>
        <w:t>41,3%,</w:t>
      </w:r>
      <w:r>
        <w:rPr>
          <w:sz w:val="28"/>
          <w:szCs w:val="28"/>
        </w:rPr>
        <w:t xml:space="preserve"> </w:t>
      </w:r>
      <w:r w:rsidRPr="0070406A">
        <w:rPr>
          <w:sz w:val="28"/>
          <w:szCs w:val="28"/>
        </w:rPr>
        <w:t>за</w:t>
      </w:r>
      <w:r>
        <w:t xml:space="preserve"> </w:t>
      </w:r>
      <w:r>
        <w:rPr>
          <w:sz w:val="28"/>
          <w:szCs w:val="28"/>
        </w:rPr>
        <w:t xml:space="preserve">2012 </w:t>
      </w:r>
      <w:r w:rsidRPr="00180CC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42,9%,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а</w:t>
      </w:r>
      <w:r>
        <w:rPr>
          <w:sz w:val="28"/>
          <w:szCs w:val="28"/>
        </w:rPr>
        <w:t xml:space="preserve"> 2013 </w:t>
      </w:r>
      <w:r w:rsidRPr="00180CC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45,4%,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</w:t>
      </w:r>
      <w:r w:rsidRPr="00180C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180CC9">
        <w:rPr>
          <w:sz w:val="28"/>
          <w:szCs w:val="28"/>
        </w:rPr>
        <w:t>45,5%</w:t>
      </w:r>
    </w:p>
    <w:p w:rsidR="00C71128" w:rsidRPr="000F760D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0F760D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промышленной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крупным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за</w:t>
      </w:r>
      <w:r>
        <w:rPr>
          <w:sz w:val="28"/>
          <w:szCs w:val="28"/>
        </w:rPr>
        <w:t xml:space="preserve"> 2013 год </w:t>
      </w:r>
      <w:r w:rsidRPr="000F760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lastRenderedPageBreak/>
        <w:t>органа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статистики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85,4%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110,1%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2012 </w:t>
      </w:r>
      <w:r w:rsidRPr="000F760D">
        <w:rPr>
          <w:sz w:val="28"/>
          <w:szCs w:val="28"/>
        </w:rPr>
        <w:t>года.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01.01.2014 </w:t>
      </w:r>
      <w:r w:rsidRPr="000F760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760D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1</w:t>
      </w:r>
      <w:r w:rsidRPr="000F760D">
        <w:rPr>
          <w:sz w:val="28"/>
          <w:szCs w:val="28"/>
        </w:rPr>
        <w:t>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0F760D" w:rsidRDefault="00C71128" w:rsidP="00844976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1 - Оборот организаций Октябрьского района г. Барнаула за 2011-2013 год, тыс. руб.</w:t>
      </w:r>
    </w:p>
    <w:tbl>
      <w:tblPr>
        <w:tblW w:w="9948" w:type="dxa"/>
        <w:tblLayout w:type="fixed"/>
        <w:tblLook w:val="0000"/>
      </w:tblPr>
      <w:tblGrid>
        <w:gridCol w:w="648"/>
        <w:gridCol w:w="4320"/>
        <w:gridCol w:w="1176"/>
        <w:gridCol w:w="1176"/>
        <w:gridCol w:w="1176"/>
        <w:gridCol w:w="1452"/>
      </w:tblGrid>
      <w:tr w:rsidR="00C71128" w:rsidRPr="00F13F9E" w:rsidTr="00C71128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№</w:t>
            </w:r>
            <w:r>
              <w:t xml:space="preserve"> </w:t>
            </w:r>
            <w:r w:rsidRPr="00F13F9E"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2011</w:t>
            </w:r>
            <w:r>
              <w:t xml:space="preserve"> </w:t>
            </w:r>
            <w:r w:rsidRPr="00F13F9E"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2012</w:t>
            </w:r>
            <w:r>
              <w:t xml:space="preserve"> </w:t>
            </w:r>
            <w:r w:rsidRPr="00F13F9E"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2013</w:t>
            </w:r>
            <w:r>
              <w:t xml:space="preserve"> </w:t>
            </w:r>
            <w:r w:rsidRPr="00F13F9E"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right="-82"/>
              <w:jc w:val="center"/>
            </w:pPr>
            <w:r w:rsidRPr="00F13F9E">
              <w:t>Темп</w:t>
            </w:r>
            <w:r>
              <w:t xml:space="preserve"> </w:t>
            </w:r>
            <w:r w:rsidRPr="00F13F9E">
              <w:t>роста</w:t>
            </w:r>
            <w:r>
              <w:t xml:space="preserve"> </w:t>
            </w:r>
            <w:r w:rsidRPr="00F13F9E">
              <w:t>2013</w:t>
            </w:r>
            <w:r>
              <w:t xml:space="preserve"> </w:t>
            </w:r>
            <w:r w:rsidRPr="00F13F9E">
              <w:t>к</w:t>
            </w:r>
            <w:r>
              <w:t xml:space="preserve"> </w:t>
            </w:r>
            <w:r w:rsidRPr="00F13F9E">
              <w:t>2011</w:t>
            </w:r>
            <w:r>
              <w:t xml:space="preserve"> </w:t>
            </w:r>
            <w:r w:rsidRPr="00F13F9E">
              <w:t>году,</w:t>
            </w:r>
            <w:r>
              <w:t xml:space="preserve"> </w:t>
            </w:r>
            <w:r w:rsidRPr="00F13F9E">
              <w:t>%</w:t>
            </w:r>
          </w:p>
        </w:tc>
      </w:tr>
      <w:tr w:rsidR="00C71128" w:rsidRPr="00F13F9E" w:rsidTr="00C71128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6</w:t>
            </w:r>
          </w:p>
        </w:tc>
      </w:tr>
      <w:tr w:rsidR="00C71128" w:rsidRPr="00F13F9E" w:rsidTr="00C71128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</w:pPr>
            <w:r w:rsidRPr="00F13F9E">
              <w:t>Оборот</w:t>
            </w:r>
            <w:r>
              <w:t xml:space="preserve"> </w:t>
            </w:r>
            <w:r w:rsidRPr="00F13F9E">
              <w:t>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16708370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18657350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17342269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103,79</w:t>
            </w:r>
          </w:p>
        </w:tc>
      </w:tr>
      <w:tr w:rsidR="00C71128" w:rsidRPr="00F13F9E" w:rsidTr="00C71128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</w:pPr>
            <w:r w:rsidRPr="00F13F9E">
              <w:t>Поступления</w:t>
            </w:r>
            <w:r>
              <w:t xml:space="preserve"> </w:t>
            </w:r>
            <w:r w:rsidRPr="00F13F9E">
              <w:t>налогов</w:t>
            </w:r>
            <w:r>
              <w:t xml:space="preserve"> </w:t>
            </w:r>
            <w:r w:rsidRPr="00F13F9E">
              <w:t>в</w:t>
            </w:r>
            <w:r>
              <w:t xml:space="preserve"> </w:t>
            </w:r>
            <w:r w:rsidRPr="00F13F9E">
              <w:t>бюджеты</w:t>
            </w:r>
            <w:r>
              <w:t xml:space="preserve"> </w:t>
            </w:r>
            <w:r w:rsidRPr="00F13F9E">
              <w:t>всех</w:t>
            </w:r>
            <w:r>
              <w:t xml:space="preserve"> </w:t>
            </w:r>
            <w:r w:rsidRPr="00F13F9E">
              <w:t>уровней</w:t>
            </w:r>
            <w:r>
              <w:t xml:space="preserve"> </w:t>
            </w:r>
            <w:r w:rsidRPr="00F13F9E">
              <w:t>и</w:t>
            </w:r>
            <w:r>
              <w:t xml:space="preserve"> </w:t>
            </w:r>
            <w:r w:rsidRPr="00F13F9E">
              <w:t>государственные</w:t>
            </w:r>
            <w:r>
              <w:t xml:space="preserve"> </w:t>
            </w:r>
            <w:r w:rsidRPr="00F13F9E">
              <w:t>внебюджетные</w:t>
            </w:r>
            <w:r>
              <w:t xml:space="preserve"> </w:t>
            </w:r>
            <w:r w:rsidRPr="00F13F9E">
              <w:t>фонды,</w:t>
            </w:r>
            <w:r>
              <w:t xml:space="preserve"> </w:t>
            </w:r>
            <w:r w:rsidRPr="00F13F9E">
              <w:t>в</w:t>
            </w:r>
            <w:r>
              <w:t xml:space="preserve"> </w:t>
            </w:r>
            <w:r w:rsidRPr="00F13F9E">
              <w:t>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4562684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4415946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4286698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93,95</w:t>
            </w:r>
          </w:p>
        </w:tc>
      </w:tr>
      <w:tr w:rsidR="00C71128" w:rsidRPr="00F13F9E" w:rsidTr="00C71128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</w:pPr>
            <w:r w:rsidRPr="00F13F9E">
              <w:t>Без</w:t>
            </w:r>
            <w:r>
              <w:t xml:space="preserve"> </w:t>
            </w:r>
            <w:r w:rsidRPr="00F13F9E">
              <w:t>учета</w:t>
            </w:r>
            <w:r>
              <w:t xml:space="preserve"> </w:t>
            </w:r>
            <w:r w:rsidRPr="00F13F9E">
              <w:t>ЕСН,</w:t>
            </w:r>
            <w:r>
              <w:t xml:space="preserve"> </w:t>
            </w:r>
            <w:r w:rsidRPr="00F13F9E">
              <w:t>зачисляемого</w:t>
            </w:r>
            <w:r>
              <w:t xml:space="preserve"> </w:t>
            </w:r>
            <w:r w:rsidRPr="00F13F9E">
              <w:t>в</w:t>
            </w:r>
            <w:r>
              <w:t xml:space="preserve"> </w:t>
            </w:r>
            <w:r w:rsidRPr="00F13F9E">
              <w:t>федеральный</w:t>
            </w:r>
            <w:r>
              <w:t xml:space="preserve"> </w:t>
            </w:r>
            <w:r w:rsidRPr="00F13F9E">
              <w:t>бюджет</w:t>
            </w:r>
            <w:r>
              <w:t xml:space="preserve"> </w:t>
            </w:r>
            <w:r w:rsidRPr="00F13F9E">
              <w:t>и</w:t>
            </w:r>
            <w:r>
              <w:t xml:space="preserve"> </w:t>
            </w:r>
            <w:r w:rsidRPr="00F13F9E">
              <w:t>государственные</w:t>
            </w:r>
            <w:r>
              <w:t xml:space="preserve"> </w:t>
            </w:r>
            <w:r w:rsidRPr="00F13F9E">
              <w:t>внебюджетные</w:t>
            </w:r>
            <w:r>
              <w:t xml:space="preserve"> </w:t>
            </w:r>
            <w:r w:rsidRPr="00F13F9E">
              <w:t>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2904303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2614780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ind w:left="-60"/>
              <w:jc w:val="center"/>
            </w:pPr>
            <w:r w:rsidRPr="00F13F9E">
              <w:t>2549216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F13F9E" w:rsidRDefault="00C71128" w:rsidP="00844976">
            <w:pPr>
              <w:widowControl w:val="0"/>
              <w:jc w:val="center"/>
            </w:pPr>
            <w:r w:rsidRPr="00F13F9E">
              <w:t>87,77</w:t>
            </w:r>
          </w:p>
        </w:tc>
      </w:tr>
    </w:tbl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BC184B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BC184B">
        <w:rPr>
          <w:sz w:val="28"/>
          <w:szCs w:val="28"/>
        </w:rPr>
        <w:t>За</w:t>
      </w:r>
      <w:r>
        <w:rPr>
          <w:sz w:val="28"/>
          <w:szCs w:val="28"/>
        </w:rPr>
        <w:t xml:space="preserve"> 2011 год </w:t>
      </w:r>
      <w:r w:rsidRPr="00BC184B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отгруженных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растет.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за</w:t>
      </w:r>
      <w:r>
        <w:rPr>
          <w:sz w:val="28"/>
          <w:szCs w:val="28"/>
        </w:rPr>
        <w:t xml:space="preserve"> год </w:t>
      </w:r>
      <w:r w:rsidRPr="00BC184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151,0%,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ЕСН,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зачисляемого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C184B">
        <w:rPr>
          <w:sz w:val="28"/>
          <w:szCs w:val="28"/>
        </w:rPr>
        <w:t>159,4%.</w:t>
      </w:r>
    </w:p>
    <w:p w:rsidR="00C71128" w:rsidRPr="00F6134F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F6134F">
        <w:rPr>
          <w:sz w:val="28"/>
          <w:szCs w:val="28"/>
        </w:rPr>
        <w:t>За</w:t>
      </w:r>
      <w:r>
        <w:rPr>
          <w:sz w:val="28"/>
          <w:szCs w:val="28"/>
        </w:rPr>
        <w:t xml:space="preserve"> 2012 год </w:t>
      </w:r>
      <w:r w:rsidRPr="00F6134F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отгруженных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росте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F6134F">
        <w:rPr>
          <w:sz w:val="28"/>
          <w:szCs w:val="28"/>
        </w:rPr>
        <w:t>фонды.</w:t>
      </w:r>
    </w:p>
    <w:p w:rsidR="00C71128" w:rsidRPr="00142A93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142A93">
        <w:rPr>
          <w:sz w:val="28"/>
          <w:szCs w:val="28"/>
        </w:rPr>
        <w:t>За</w:t>
      </w:r>
      <w:r>
        <w:rPr>
          <w:sz w:val="28"/>
          <w:szCs w:val="28"/>
        </w:rPr>
        <w:t xml:space="preserve"> 2013 год </w:t>
      </w:r>
      <w:r w:rsidRPr="00142A93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отгруженных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142A93">
        <w:rPr>
          <w:sz w:val="28"/>
          <w:szCs w:val="28"/>
        </w:rPr>
        <w:t>фонды.</w:t>
      </w:r>
      <w:r>
        <w:rPr>
          <w:sz w:val="28"/>
          <w:szCs w:val="28"/>
        </w:rPr>
        <w:t xml:space="preserve"> 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435401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розничной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крупным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за 2011-2013 представлены на рисунке 1.</w:t>
      </w:r>
    </w:p>
    <w:p w:rsidR="00C71128" w:rsidRPr="009326EE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4705" cy="2695575"/>
            <wp:effectExtent l="19050" t="0" r="10795" b="0"/>
            <wp:docPr id="6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128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1 - </w:t>
      </w:r>
      <w:r w:rsidRPr="00435401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розничной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крупным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за 2011-2013 гг.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рисунка 1 можно сказать, что о</w:t>
      </w:r>
      <w:r w:rsidRPr="00435401">
        <w:rPr>
          <w:sz w:val="28"/>
          <w:szCs w:val="28"/>
        </w:rPr>
        <w:t>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розничной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кр</w:t>
      </w:r>
      <w:r>
        <w:rPr>
          <w:sz w:val="28"/>
          <w:szCs w:val="28"/>
        </w:rPr>
        <w:t xml:space="preserve">упным и средним предприятиям за 2012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4193704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вырос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</w:t>
      </w:r>
      <w:r>
        <w:rPr>
          <w:sz w:val="28"/>
          <w:szCs w:val="28"/>
        </w:rPr>
        <w:t xml:space="preserve">риодом прошлого года на 44,2%, за 2013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1812214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пер</w:t>
      </w:r>
      <w:r>
        <w:rPr>
          <w:sz w:val="28"/>
          <w:szCs w:val="28"/>
        </w:rPr>
        <w:t>иодом прошлого года на 5,6%, а з</w:t>
      </w:r>
      <w:r w:rsidRPr="00435401">
        <w:rPr>
          <w:sz w:val="28"/>
          <w:szCs w:val="28"/>
        </w:rPr>
        <w:t>а</w:t>
      </w:r>
      <w:r>
        <w:rPr>
          <w:sz w:val="28"/>
          <w:szCs w:val="28"/>
        </w:rPr>
        <w:t xml:space="preserve"> 2011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1853203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4,4%.</w:t>
      </w:r>
      <w:r>
        <w:rPr>
          <w:sz w:val="28"/>
          <w:szCs w:val="28"/>
        </w:rPr>
        <w:t xml:space="preserve"> 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435401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за 2011-2013 представлены на рисунке 2.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данных рис. 2 можно сделать вывод, что о</w:t>
      </w:r>
      <w:r w:rsidRPr="00435401">
        <w:rPr>
          <w:sz w:val="28"/>
          <w:szCs w:val="28"/>
        </w:rPr>
        <w:t>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</w:t>
      </w:r>
      <w:r>
        <w:rPr>
          <w:sz w:val="28"/>
          <w:szCs w:val="28"/>
        </w:rPr>
        <w:t xml:space="preserve">2012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40243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123,1%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</w:t>
      </w:r>
      <w:r>
        <w:rPr>
          <w:sz w:val="28"/>
          <w:szCs w:val="28"/>
        </w:rPr>
        <w:t xml:space="preserve">2013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31465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114,8%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01.01.201</w:t>
      </w:r>
      <w:r>
        <w:rPr>
          <w:sz w:val="28"/>
          <w:szCs w:val="28"/>
        </w:rPr>
        <w:t xml:space="preserve">4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35122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91,6%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года.</w:t>
      </w:r>
    </w:p>
    <w:p w:rsidR="00C71128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4705" cy="3114675"/>
            <wp:effectExtent l="19050" t="0" r="10795" b="0"/>
            <wp:docPr id="6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128" w:rsidRPr="007C58BC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2 - </w:t>
      </w:r>
      <w:r w:rsidRPr="00435401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за 2011-2013 гг.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Default="00C71128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C92EBA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C92EBA">
        <w:rPr>
          <w:sz w:val="28"/>
          <w:szCs w:val="28"/>
        </w:rPr>
        <w:t>прибыльных</w:t>
      </w:r>
      <w:r>
        <w:rPr>
          <w:sz w:val="28"/>
          <w:szCs w:val="28"/>
        </w:rPr>
        <w:t xml:space="preserve"> и убыточных </w:t>
      </w:r>
      <w:r w:rsidRPr="00C92EB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C92EBA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C92EB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92EBA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C92EBA">
        <w:rPr>
          <w:sz w:val="28"/>
          <w:szCs w:val="28"/>
        </w:rPr>
        <w:t>3.</w:t>
      </w:r>
    </w:p>
    <w:p w:rsidR="00C71128" w:rsidRPr="00AC720E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AC720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рис. </w:t>
      </w:r>
      <w:r w:rsidRPr="00AC720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прибыльных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01.01.</w:t>
      </w:r>
      <w:r>
        <w:rPr>
          <w:sz w:val="28"/>
          <w:szCs w:val="28"/>
        </w:rPr>
        <w:t xml:space="preserve">2012 </w:t>
      </w:r>
      <w:r w:rsidRPr="00AC720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70,1%,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аналогичном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69,6%,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66,7%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69,2%.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прибыльных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01.01.</w:t>
      </w:r>
      <w:r>
        <w:rPr>
          <w:sz w:val="28"/>
          <w:szCs w:val="28"/>
        </w:rPr>
        <w:t xml:space="preserve">2013 </w:t>
      </w:r>
      <w:r w:rsidRPr="00AC720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72,0%,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2011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70,1%,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66,7%.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прибыльных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редприятий на 01.01.2014 </w:t>
      </w:r>
      <w:r w:rsidRPr="00AC720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62,7%,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2012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72,0%,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65,0%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66,7%.</w:t>
      </w:r>
    </w:p>
    <w:p w:rsidR="00C71128" w:rsidRPr="00AC720E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убыточных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01.01.</w:t>
      </w:r>
      <w:r>
        <w:rPr>
          <w:sz w:val="28"/>
          <w:szCs w:val="28"/>
        </w:rPr>
        <w:t xml:space="preserve">2012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33,3%,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37,9%,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40,7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33,3%%.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убыточных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01.01.</w:t>
      </w:r>
      <w:r>
        <w:rPr>
          <w:sz w:val="28"/>
          <w:szCs w:val="28"/>
        </w:rPr>
        <w:t xml:space="preserve">2013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37,9%,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2011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33,3%,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40,7%.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убыточных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01.01.</w:t>
      </w:r>
      <w:r>
        <w:rPr>
          <w:sz w:val="28"/>
          <w:szCs w:val="28"/>
        </w:rPr>
        <w:t xml:space="preserve">2014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37,3%,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2012 </w:t>
      </w:r>
      <w:r w:rsidRPr="00AC720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37,9%,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35,0%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720E">
        <w:rPr>
          <w:sz w:val="28"/>
          <w:szCs w:val="28"/>
        </w:rPr>
        <w:t>40,7%.</w:t>
      </w:r>
    </w:p>
    <w:p w:rsidR="00C71128" w:rsidRPr="00AC720E" w:rsidRDefault="00C71128" w:rsidP="00844976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33179" cy="3819164"/>
            <wp:effectExtent l="19050" t="0" r="10371" b="0"/>
            <wp:docPr id="6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128" w:rsidRPr="009353F9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 w:rsidRPr="009353F9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3 </w:t>
      </w:r>
      <w:r w:rsidRPr="009353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53F9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9353F9">
        <w:rPr>
          <w:sz w:val="28"/>
          <w:szCs w:val="28"/>
        </w:rPr>
        <w:t>прибыльных</w:t>
      </w:r>
      <w:r>
        <w:rPr>
          <w:sz w:val="28"/>
          <w:szCs w:val="28"/>
        </w:rPr>
        <w:t xml:space="preserve"> </w:t>
      </w:r>
      <w:r w:rsidRPr="009353F9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9353F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53F9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9353F9">
        <w:rPr>
          <w:sz w:val="28"/>
          <w:szCs w:val="28"/>
        </w:rPr>
        <w:t>-</w:t>
      </w:r>
      <w:r>
        <w:rPr>
          <w:sz w:val="28"/>
          <w:szCs w:val="28"/>
        </w:rPr>
        <w:t xml:space="preserve">2013 </w:t>
      </w:r>
      <w:r w:rsidRPr="009353F9">
        <w:rPr>
          <w:sz w:val="28"/>
          <w:szCs w:val="28"/>
        </w:rPr>
        <w:t>гг.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AA33E5"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за</w:t>
      </w:r>
      <w:r>
        <w:rPr>
          <w:sz w:val="28"/>
          <w:szCs w:val="28"/>
        </w:rPr>
        <w:t xml:space="preserve"> 2011</w:t>
      </w:r>
      <w:r w:rsidRPr="00AA33E5">
        <w:rPr>
          <w:sz w:val="28"/>
          <w:szCs w:val="28"/>
        </w:rPr>
        <w:t>-</w:t>
      </w:r>
      <w:r>
        <w:rPr>
          <w:sz w:val="28"/>
          <w:szCs w:val="28"/>
        </w:rPr>
        <w:t xml:space="preserve">2013 </w:t>
      </w:r>
      <w:r w:rsidRPr="00AA33E5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AA33E5">
        <w:rPr>
          <w:sz w:val="28"/>
          <w:szCs w:val="28"/>
        </w:rPr>
        <w:t>4.</w:t>
      </w:r>
    </w:p>
    <w:p w:rsidR="00C71128" w:rsidRDefault="00C71128" w:rsidP="00844976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5340350" cy="3657600"/>
            <wp:effectExtent l="19050" t="0" r="12700" b="0"/>
            <wp:docPr id="6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1128" w:rsidRPr="00315038" w:rsidRDefault="00C71128" w:rsidP="00844976">
      <w:pPr>
        <w:widowControl w:val="0"/>
        <w:spacing w:line="360" w:lineRule="auto"/>
        <w:jc w:val="center"/>
        <w:rPr>
          <w:sz w:val="28"/>
          <w:szCs w:val="28"/>
        </w:rPr>
      </w:pPr>
      <w:r w:rsidRPr="00315038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315038">
        <w:rPr>
          <w:sz w:val="28"/>
          <w:szCs w:val="28"/>
        </w:rPr>
        <w:t>за</w:t>
      </w:r>
      <w:r>
        <w:rPr>
          <w:sz w:val="28"/>
          <w:szCs w:val="28"/>
        </w:rPr>
        <w:t xml:space="preserve"> 2011</w:t>
      </w:r>
      <w:r w:rsidRPr="00315038">
        <w:rPr>
          <w:sz w:val="28"/>
          <w:szCs w:val="28"/>
        </w:rPr>
        <w:t>-</w:t>
      </w:r>
      <w:r>
        <w:rPr>
          <w:sz w:val="28"/>
          <w:szCs w:val="28"/>
        </w:rPr>
        <w:t xml:space="preserve">2013 </w:t>
      </w:r>
      <w:r w:rsidRPr="00315038">
        <w:rPr>
          <w:sz w:val="28"/>
          <w:szCs w:val="28"/>
        </w:rPr>
        <w:t>гг.</w:t>
      </w:r>
    </w:p>
    <w:p w:rsidR="00C71128" w:rsidRPr="008A6490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8A6490">
        <w:rPr>
          <w:sz w:val="28"/>
          <w:szCs w:val="28"/>
        </w:rPr>
        <w:lastRenderedPageBreak/>
        <w:t>Исходя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</w:t>
      </w:r>
      <w:r>
        <w:rPr>
          <w:sz w:val="28"/>
          <w:szCs w:val="28"/>
        </w:rPr>
        <w:t xml:space="preserve"> 2011 </w:t>
      </w:r>
      <w:r w:rsidRPr="008A649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9976933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11797588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7789402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2011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7343252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9343705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тыс.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руб.,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5921488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</w:t>
      </w:r>
    </w:p>
    <w:p w:rsidR="00C71128" w:rsidRPr="00EE5FEC" w:rsidRDefault="00C71128" w:rsidP="00844976">
      <w:pPr>
        <w:widowControl w:val="0"/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8A6490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 w:rsidRPr="008A6490">
        <w:rPr>
          <w:sz w:val="28"/>
          <w:szCs w:val="28"/>
        </w:rPr>
        <w:t>.</w:t>
      </w:r>
      <w:r>
        <w:rPr>
          <w:sz w:val="28"/>
          <w:szCs w:val="28"/>
        </w:rPr>
        <w:t xml:space="preserve">2012 год </w:t>
      </w:r>
      <w:r w:rsidRPr="008A64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11469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(рост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123,0%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аналогичному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года),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01.01.</w:t>
      </w:r>
      <w:r>
        <w:rPr>
          <w:sz w:val="28"/>
          <w:szCs w:val="28"/>
        </w:rPr>
        <w:t xml:space="preserve">2013 </w:t>
      </w:r>
      <w:r w:rsidRPr="00EE5FE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14574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(рост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124,7%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аналогичному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2011 </w:t>
      </w:r>
      <w:r w:rsidRPr="00EE5FEC">
        <w:rPr>
          <w:sz w:val="28"/>
          <w:szCs w:val="28"/>
        </w:rPr>
        <w:t>года),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01.01.</w:t>
      </w:r>
      <w:r>
        <w:rPr>
          <w:sz w:val="28"/>
          <w:szCs w:val="28"/>
        </w:rPr>
        <w:t xml:space="preserve">2014 </w:t>
      </w:r>
      <w:r w:rsidRPr="00EE5FE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15489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(рост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6,8%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аналогичному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2012 </w:t>
      </w:r>
      <w:r w:rsidRPr="00EE5FEC">
        <w:rPr>
          <w:sz w:val="28"/>
          <w:szCs w:val="28"/>
        </w:rPr>
        <w:t>года),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E5FEC">
        <w:rPr>
          <w:sz w:val="28"/>
          <w:szCs w:val="28"/>
        </w:rPr>
        <w:t>числе:</w:t>
      </w:r>
    </w:p>
    <w:p w:rsidR="00C71128" w:rsidRPr="00A4650A" w:rsidRDefault="00C71128" w:rsidP="00844976">
      <w:pPr>
        <w:widowControl w:val="0"/>
        <w:numPr>
          <w:ilvl w:val="0"/>
          <w:numId w:val="15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плата</w:t>
      </w:r>
      <w:r>
        <w:rPr>
          <w:sz w:val="28"/>
          <w:szCs w:val="28"/>
        </w:rPr>
        <w:t xml:space="preserve"> в 2011 году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9869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прошлому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118,4%,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DB504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12168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прошлому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122,5%,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5048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DB504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11993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прошлому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4,8%</w:t>
      </w:r>
    </w:p>
    <w:p w:rsidR="00C71128" w:rsidRPr="00A4650A" w:rsidRDefault="00C71128" w:rsidP="00844976">
      <w:pPr>
        <w:widowControl w:val="0"/>
        <w:numPr>
          <w:ilvl w:val="0"/>
          <w:numId w:val="15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2011 </w:t>
      </w:r>
      <w:r w:rsidRPr="00A4650A">
        <w:rPr>
          <w:sz w:val="28"/>
          <w:szCs w:val="28"/>
        </w:rPr>
        <w:t>году–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8060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130,7%,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9664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117,0%,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11573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119,7%</w:t>
      </w:r>
    </w:p>
    <w:p w:rsidR="00C71128" w:rsidRDefault="00C71128" w:rsidP="00844976">
      <w:pPr>
        <w:widowControl w:val="0"/>
        <w:numPr>
          <w:ilvl w:val="0"/>
          <w:numId w:val="15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здравоохранении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2011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10788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105,4%,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10209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128,8%,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A4650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10788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650A">
        <w:rPr>
          <w:sz w:val="28"/>
          <w:szCs w:val="28"/>
        </w:rPr>
        <w:t>105,4%.</w:t>
      </w:r>
    </w:p>
    <w:p w:rsidR="00C71128" w:rsidRPr="00A42D8F" w:rsidRDefault="00C71128" w:rsidP="00844976">
      <w:pPr>
        <w:widowControl w:val="0"/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A42D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01.01.</w:t>
      </w:r>
      <w:r>
        <w:rPr>
          <w:sz w:val="28"/>
          <w:szCs w:val="28"/>
        </w:rPr>
        <w:t xml:space="preserve">2012 (на 01.01.2013 год и на 01.01.2014 год) год </w:t>
      </w:r>
      <w:r w:rsidRPr="00A42D8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налоговом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состоит:</w:t>
      </w:r>
    </w:p>
    <w:p w:rsidR="00C71128" w:rsidRPr="00A42D8F" w:rsidRDefault="00C71128" w:rsidP="00844976">
      <w:pPr>
        <w:widowControl w:val="0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2D8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лиц</w:t>
      </w:r>
      <w:r>
        <w:rPr>
          <w:sz w:val="28"/>
          <w:szCs w:val="28"/>
        </w:rPr>
        <w:t xml:space="preserve">  </w:t>
      </w:r>
      <w:r w:rsidRPr="00A42D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–</w:t>
      </w:r>
      <w:r>
        <w:rPr>
          <w:sz w:val="28"/>
          <w:szCs w:val="28"/>
        </w:rPr>
        <w:t xml:space="preserve"> 7798 (7368 и </w:t>
      </w:r>
      <w:r w:rsidRPr="00A42D8F">
        <w:rPr>
          <w:sz w:val="28"/>
          <w:szCs w:val="28"/>
        </w:rPr>
        <w:t>7750</w:t>
      </w:r>
      <w:r>
        <w:rPr>
          <w:sz w:val="28"/>
          <w:szCs w:val="28"/>
        </w:rPr>
        <w:t>);</w:t>
      </w:r>
    </w:p>
    <w:p w:rsidR="00C71128" w:rsidRPr="00A42D8F" w:rsidRDefault="00C71128" w:rsidP="00844976">
      <w:pPr>
        <w:widowControl w:val="0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2D8F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–</w:t>
      </w:r>
      <w:r>
        <w:rPr>
          <w:sz w:val="28"/>
          <w:szCs w:val="28"/>
        </w:rPr>
        <w:t xml:space="preserve"> 2 (4 и 3);</w:t>
      </w:r>
    </w:p>
    <w:p w:rsidR="00C71128" w:rsidRPr="00A42D8F" w:rsidRDefault="00C71128" w:rsidP="00844976">
      <w:pPr>
        <w:widowControl w:val="0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2D8F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–</w:t>
      </w:r>
      <w:r>
        <w:rPr>
          <w:sz w:val="28"/>
          <w:szCs w:val="28"/>
        </w:rPr>
        <w:t xml:space="preserve"> 3157 (3310 и 3375);</w:t>
      </w:r>
    </w:p>
    <w:p w:rsidR="00C71128" w:rsidRPr="00A42D8F" w:rsidRDefault="00C71128" w:rsidP="00844976">
      <w:pPr>
        <w:widowControl w:val="0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2D8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–</w:t>
      </w:r>
      <w:r>
        <w:rPr>
          <w:sz w:val="28"/>
          <w:szCs w:val="28"/>
        </w:rPr>
        <w:t xml:space="preserve"> 95509 (96260 и 101993);</w:t>
      </w:r>
    </w:p>
    <w:p w:rsidR="00C71128" w:rsidRPr="00A42D8F" w:rsidRDefault="00C71128" w:rsidP="00844976">
      <w:pPr>
        <w:widowControl w:val="0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A42D8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–</w:t>
      </w:r>
      <w:r>
        <w:rPr>
          <w:sz w:val="28"/>
          <w:szCs w:val="28"/>
        </w:rPr>
        <w:t xml:space="preserve"> 189 (179 и 198).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42D8F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за 2011-2013гг. представлена в таблице 2.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Default="00C71128" w:rsidP="00844976">
      <w:pPr>
        <w:widowControl w:val="0"/>
        <w:spacing w:line="360" w:lineRule="auto"/>
        <w:rPr>
          <w:sz w:val="28"/>
          <w:szCs w:val="28"/>
        </w:rPr>
      </w:pPr>
    </w:p>
    <w:p w:rsidR="00C71128" w:rsidRPr="00A42D8F" w:rsidRDefault="00C71128" w:rsidP="00844976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2 - С</w:t>
      </w:r>
      <w:r w:rsidRPr="00A42D8F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A42D8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за 2011- 9 месяцев 2014 гг.</w:t>
      </w:r>
    </w:p>
    <w:tbl>
      <w:tblPr>
        <w:tblW w:w="5000" w:type="pct"/>
        <w:tblLook w:val="0000"/>
      </w:tblPr>
      <w:tblGrid>
        <w:gridCol w:w="4287"/>
        <w:gridCol w:w="1079"/>
        <w:gridCol w:w="1080"/>
        <w:gridCol w:w="1080"/>
        <w:gridCol w:w="1080"/>
        <w:gridCol w:w="1248"/>
      </w:tblGrid>
      <w:tr w:rsidR="00C71128" w:rsidRPr="00354E01" w:rsidTr="00C71128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2011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2012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2013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За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мес.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года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Изменение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2011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2013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году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Количество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юридических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лиц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7798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7368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7750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7963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-48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том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коммерческие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7082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6686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7119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7393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37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полные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товарищества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товарищества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вере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0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>
              <w:rPr>
                <w:sz w:val="22"/>
              </w:rPr>
              <w:t>ООО и ОДО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6298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6705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391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акционерные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общества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(открытые,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закрытые)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393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-83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производственные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кооперативы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-26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унитарные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предприятия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-20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прочие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коммерческие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организации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-224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некоммерческие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716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631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570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-85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Потребительские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кооперативы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146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164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18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Государственные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муниципальные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учреждения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-41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Юридические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лица,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регистрируемые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соответствии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со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специальным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порядком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(Росрегистрация)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279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-76</w:t>
            </w:r>
          </w:p>
        </w:tc>
      </w:tr>
      <w:tr w:rsidR="00C71128" w:rsidRPr="00354E01" w:rsidTr="00C71128"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128" w:rsidRPr="00354E01" w:rsidRDefault="00C71128" w:rsidP="00844976">
            <w:pPr>
              <w:widowControl w:val="0"/>
            </w:pPr>
            <w:r w:rsidRPr="00354E01">
              <w:rPr>
                <w:sz w:val="22"/>
              </w:rPr>
              <w:t>прочие</w:t>
            </w:r>
            <w:r>
              <w:rPr>
                <w:sz w:val="22"/>
              </w:rPr>
              <w:t xml:space="preserve"> </w:t>
            </w:r>
            <w:r w:rsidRPr="00354E01">
              <w:rPr>
                <w:sz w:val="22"/>
              </w:rPr>
              <w:t>некоммерческие</w:t>
            </w:r>
            <w:r>
              <w:rPr>
                <w:sz w:val="22"/>
              </w:rPr>
              <w:t xml:space="preserve">  </w:t>
            </w:r>
            <w:r w:rsidRPr="00354E01">
              <w:rPr>
                <w:sz w:val="22"/>
              </w:rPr>
              <w:t>организации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54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354E01" w:rsidRDefault="00C71128" w:rsidP="00844976">
            <w:pPr>
              <w:widowControl w:val="0"/>
              <w:jc w:val="center"/>
            </w:pPr>
            <w:r w:rsidRPr="00354E01">
              <w:rPr>
                <w:sz w:val="22"/>
              </w:rPr>
              <w:t>14</w:t>
            </w:r>
          </w:p>
        </w:tc>
      </w:tr>
    </w:tbl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9462E1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9462E1">
        <w:rPr>
          <w:sz w:val="28"/>
          <w:szCs w:val="28"/>
        </w:rPr>
        <w:t>За</w:t>
      </w:r>
      <w:r>
        <w:rPr>
          <w:sz w:val="28"/>
          <w:szCs w:val="28"/>
        </w:rPr>
        <w:t xml:space="preserve"> 2013 </w:t>
      </w:r>
      <w:r w:rsidRPr="009462E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мобилизовано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5419608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109,5%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2012 </w:t>
      </w:r>
      <w:r w:rsidRPr="009462E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469313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консолидированный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3713837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аналогичного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343839</w:t>
      </w:r>
      <w:r>
        <w:rPr>
          <w:sz w:val="28"/>
          <w:szCs w:val="28"/>
        </w:rPr>
        <w:t xml:space="preserve"> тыс. руб. </w:t>
      </w:r>
      <w:r w:rsidRPr="009462E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7,9%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1705771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абсолютных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величинах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собрано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125474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C71128" w:rsidRDefault="00C71128" w:rsidP="00844976">
      <w:pPr>
        <w:widowControl w:val="0"/>
        <w:spacing w:line="360" w:lineRule="auto"/>
        <w:rPr>
          <w:sz w:val="28"/>
          <w:szCs w:val="28"/>
        </w:rPr>
      </w:pPr>
    </w:p>
    <w:p w:rsidR="00C71128" w:rsidRPr="009462E1" w:rsidRDefault="00C71128" w:rsidP="00844976">
      <w:pPr>
        <w:widowControl w:val="0"/>
        <w:spacing w:line="360" w:lineRule="auto"/>
        <w:rPr>
          <w:sz w:val="28"/>
          <w:szCs w:val="28"/>
        </w:rPr>
      </w:pPr>
      <w:r w:rsidRPr="009462E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3 - </w:t>
      </w:r>
      <w:r w:rsidRPr="009462E1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462E1">
        <w:rPr>
          <w:sz w:val="28"/>
          <w:szCs w:val="28"/>
        </w:rPr>
        <w:t>руб.</w:t>
      </w:r>
    </w:p>
    <w:tbl>
      <w:tblPr>
        <w:tblW w:w="4987" w:type="pct"/>
        <w:tblLayout w:type="fixed"/>
        <w:tblLook w:val="0000"/>
      </w:tblPr>
      <w:tblGrid>
        <w:gridCol w:w="3842"/>
        <w:gridCol w:w="951"/>
        <w:gridCol w:w="1079"/>
        <w:gridCol w:w="898"/>
        <w:gridCol w:w="898"/>
        <w:gridCol w:w="1004"/>
        <w:gridCol w:w="1156"/>
      </w:tblGrid>
      <w:tr w:rsidR="00C71128" w:rsidRPr="00C71128" w:rsidTr="00C71128"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Вид доходов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2011 год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2012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2013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9 мес. 2014 года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Отклонение 2013 к 2011 году</w:t>
            </w:r>
          </w:p>
        </w:tc>
      </w:tr>
      <w:tr w:rsidR="00C71128" w:rsidRPr="00C71128" w:rsidTr="00C71128"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80" w:right="-58"/>
              <w:jc w:val="right"/>
              <w:rPr>
                <w:sz w:val="22"/>
              </w:rPr>
            </w:pPr>
            <w:r w:rsidRPr="00C71128">
              <w:rPr>
                <w:sz w:val="22"/>
              </w:rPr>
              <w:t>тыс. руб.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%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Всего поступило в бюджетную систему и госуд. внебюджетные фонды, 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4562684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4950295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5419608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3731962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856924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118,78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Налоги и сборы в консолидированный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3288679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3369998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3713837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2542627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425158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112,93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Налог на прибыль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632996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540662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572911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428709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-60085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90,51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lastRenderedPageBreak/>
              <w:t>Налог на доходы физических лиц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976424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1261822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1337971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905054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361547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137,03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Налог на добавленную стоимость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844821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490239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722934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454751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-121887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85,57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НДС-Беларусь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10212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4289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6598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5965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-3614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64,61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Страховые взносы в 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384376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483926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527225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369831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142849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09" w:right="-8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137,16</w:t>
            </w:r>
          </w:p>
        </w:tc>
      </w:tr>
      <w:tr w:rsidR="00C71128" w:rsidRPr="00C71128" w:rsidTr="00C71128"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rPr>
                <w:sz w:val="22"/>
              </w:rPr>
            </w:pPr>
            <w:r w:rsidRPr="00C71128">
              <w:rPr>
                <w:sz w:val="22"/>
              </w:rPr>
              <w:t>Акцизы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56" w:right="-142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ind w:left="-122" w:right="-58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28" w:rsidRPr="00C71128" w:rsidRDefault="00C71128" w:rsidP="00844976">
            <w:pPr>
              <w:widowControl w:val="0"/>
              <w:jc w:val="center"/>
              <w:rPr>
                <w:sz w:val="22"/>
              </w:rPr>
            </w:pPr>
            <w:r w:rsidRPr="00C71128">
              <w:rPr>
                <w:sz w:val="22"/>
              </w:rPr>
              <w:t>-</w:t>
            </w:r>
          </w:p>
        </w:tc>
      </w:tr>
    </w:tbl>
    <w:p w:rsidR="00C71128" w:rsidRPr="005D5C90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5D5C90" w:rsidRDefault="00C71128" w:rsidP="00844976">
      <w:pPr>
        <w:widowControl w:val="0"/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5D5C9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обеспечили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64,3%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поступлений,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являются:</w:t>
      </w:r>
    </w:p>
    <w:p w:rsidR="00C71128" w:rsidRPr="005D5C90" w:rsidRDefault="00C71128" w:rsidP="00844976">
      <w:pPr>
        <w:widowControl w:val="0"/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5D5C90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24,7%,</w:t>
      </w:r>
    </w:p>
    <w:p w:rsidR="00C71128" w:rsidRPr="005D5C90" w:rsidRDefault="00C71128" w:rsidP="00844976">
      <w:pPr>
        <w:widowControl w:val="0"/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5D5C90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13,3%,</w:t>
      </w:r>
    </w:p>
    <w:p w:rsidR="00C71128" w:rsidRPr="005D5C90" w:rsidRDefault="00C71128" w:rsidP="00844976">
      <w:pPr>
        <w:widowControl w:val="0"/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5D5C90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10,6%,</w:t>
      </w:r>
    </w:p>
    <w:p w:rsidR="00C71128" w:rsidRPr="005D5C90" w:rsidRDefault="00C71128" w:rsidP="00844976">
      <w:pPr>
        <w:widowControl w:val="0"/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страховые взносы</w:t>
      </w:r>
      <w:r w:rsidRPr="005D5C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зачисляемы</w:t>
      </w:r>
      <w:r>
        <w:rPr>
          <w:sz w:val="28"/>
          <w:szCs w:val="28"/>
        </w:rPr>
        <w:t xml:space="preserve">е </w:t>
      </w:r>
      <w:r w:rsidRPr="005D5C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9,7%,</w:t>
      </w:r>
    </w:p>
    <w:p w:rsidR="00C71128" w:rsidRPr="005D5C90" w:rsidRDefault="00C71128" w:rsidP="00844976">
      <w:pPr>
        <w:widowControl w:val="0"/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5D5C90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6,0%.</w:t>
      </w:r>
    </w:p>
    <w:p w:rsidR="00C71128" w:rsidRPr="005D5C90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5D5C90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налогу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85,2%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аналогичного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переплаты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расчетный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филиалу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МРСК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Сибири-Алтайэнерго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47954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>руб.</w:t>
      </w:r>
    </w:p>
    <w:p w:rsidR="00C71128" w:rsidRPr="00A4650A" w:rsidRDefault="00C71128" w:rsidP="00844976">
      <w:pPr>
        <w:widowControl w:val="0"/>
        <w:tabs>
          <w:tab w:val="left" w:pos="108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Pr="004771FB">
        <w:rPr>
          <w:sz w:val="28"/>
          <w:szCs w:val="28"/>
        </w:rPr>
        <w:t>аждый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присваивается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ранее,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инспекции.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чинов,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(несколько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рангов)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(несколько</w:t>
      </w:r>
      <w:r>
        <w:rPr>
          <w:sz w:val="28"/>
          <w:szCs w:val="28"/>
        </w:rPr>
        <w:t xml:space="preserve"> </w:t>
      </w:r>
      <w:r w:rsidRPr="004771FB">
        <w:rPr>
          <w:sz w:val="28"/>
          <w:szCs w:val="28"/>
        </w:rPr>
        <w:t>рангов).</w:t>
      </w:r>
      <w:r>
        <w:rPr>
          <w:sz w:val="28"/>
          <w:szCs w:val="28"/>
        </w:rPr>
        <w:t xml:space="preserve"> О</w:t>
      </w:r>
      <w:r w:rsidRPr="00435401">
        <w:rPr>
          <w:sz w:val="28"/>
          <w:szCs w:val="28"/>
        </w:rPr>
        <w:t>борот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розничной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крупным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</w:t>
      </w:r>
      <w:r>
        <w:rPr>
          <w:sz w:val="28"/>
          <w:szCs w:val="28"/>
        </w:rPr>
        <w:t xml:space="preserve">2012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4193704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вырос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44,2%,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</w:t>
      </w:r>
      <w:r>
        <w:rPr>
          <w:sz w:val="28"/>
          <w:szCs w:val="28"/>
        </w:rPr>
        <w:t xml:space="preserve">2013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1812214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5,6%,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01.01.</w:t>
      </w:r>
      <w:r>
        <w:rPr>
          <w:sz w:val="28"/>
          <w:szCs w:val="28"/>
        </w:rPr>
        <w:t xml:space="preserve">2014 </w:t>
      </w:r>
      <w:r w:rsidRPr="004354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1853203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5401">
        <w:rPr>
          <w:sz w:val="28"/>
          <w:szCs w:val="28"/>
        </w:rPr>
        <w:t>4,4%.</w:t>
      </w:r>
      <w:r>
        <w:rPr>
          <w:sz w:val="28"/>
          <w:szCs w:val="28"/>
        </w:rPr>
        <w:t xml:space="preserve"> К</w:t>
      </w:r>
      <w:r w:rsidRPr="008A6490">
        <w:rPr>
          <w:sz w:val="28"/>
          <w:szCs w:val="28"/>
        </w:rPr>
        <w:t>редиторская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</w:t>
      </w:r>
      <w:r>
        <w:rPr>
          <w:sz w:val="28"/>
          <w:szCs w:val="28"/>
        </w:rPr>
        <w:t xml:space="preserve"> 2011 </w:t>
      </w:r>
      <w:r w:rsidRPr="008A649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9976933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11797588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7789402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2011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7343252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9343705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тыс.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руб.,</w:t>
      </w:r>
      <w:r>
        <w:rPr>
          <w:snapToGrid w:val="0"/>
          <w:sz w:val="28"/>
          <w:szCs w:val="28"/>
        </w:rPr>
        <w:t xml:space="preserve"> </w:t>
      </w:r>
      <w:r w:rsidRPr="008A6490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Pr="008A6490">
        <w:rPr>
          <w:sz w:val="28"/>
          <w:szCs w:val="28"/>
        </w:rPr>
        <w:t>в</w:t>
      </w:r>
      <w:r>
        <w:rPr>
          <w:sz w:val="28"/>
          <w:szCs w:val="28"/>
        </w:rPr>
        <w:t xml:space="preserve"> 2013 </w:t>
      </w:r>
      <w:r w:rsidRPr="008A649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5921488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6490">
        <w:rPr>
          <w:sz w:val="28"/>
          <w:szCs w:val="28"/>
        </w:rPr>
        <w:t>руб.</w:t>
      </w:r>
    </w:p>
    <w:p w:rsidR="00C71128" w:rsidRPr="00C71128" w:rsidRDefault="00C71128" w:rsidP="00830EC1">
      <w:pPr>
        <w:pStyle w:val="2"/>
      </w:pPr>
      <w:bookmarkStart w:id="3" w:name="_Toc309812530"/>
      <w:bookmarkStart w:id="4" w:name="_Toc405837595"/>
      <w:r w:rsidRPr="00C71128">
        <w:lastRenderedPageBreak/>
        <w:t>2 Предоставление льгот и отсрочек по уплате налогов и платежей в бюджеты и государственные внебюджетные фонды</w:t>
      </w:r>
      <w:bookmarkEnd w:id="3"/>
      <w:bookmarkEnd w:id="4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44976" w:rsidRPr="00844976" w:rsidRDefault="00844976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844976">
        <w:rPr>
          <w:sz w:val="28"/>
          <w:szCs w:val="28"/>
        </w:rPr>
        <w:t>Действующим законодательством предусматривается 4 вида вычетов по НДФЛ: имущественные, социальные, профессионал</w:t>
      </w:r>
      <w:r>
        <w:rPr>
          <w:sz w:val="28"/>
          <w:szCs w:val="28"/>
        </w:rPr>
        <w:t>ьные и стандартные.  В таблице 4</w:t>
      </w:r>
      <w:r w:rsidRPr="00844976">
        <w:rPr>
          <w:sz w:val="28"/>
          <w:szCs w:val="28"/>
        </w:rPr>
        <w:t xml:space="preserve"> представлена динамика и структура количества налоговых вычетов за период с 2012 по 2014 гг. </w:t>
      </w:r>
    </w:p>
    <w:p w:rsidR="00844976" w:rsidRDefault="00844976" w:rsidP="00844976">
      <w:pPr>
        <w:widowControl w:val="0"/>
        <w:tabs>
          <w:tab w:val="left" w:pos="7740"/>
          <w:tab w:val="right" w:pos="9638"/>
        </w:tabs>
        <w:spacing w:line="360" w:lineRule="auto"/>
        <w:jc w:val="left"/>
        <w:rPr>
          <w:sz w:val="28"/>
          <w:szCs w:val="28"/>
        </w:rPr>
      </w:pPr>
    </w:p>
    <w:p w:rsidR="00844976" w:rsidRPr="00844976" w:rsidRDefault="00844976" w:rsidP="00844976">
      <w:pPr>
        <w:widowControl w:val="0"/>
        <w:tabs>
          <w:tab w:val="left" w:pos="273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4 - </w:t>
      </w:r>
      <w:r w:rsidRPr="00844976">
        <w:rPr>
          <w:sz w:val="28"/>
          <w:szCs w:val="28"/>
        </w:rPr>
        <w:t>Динамика и структура налоговых вычетов в 2012 – 2014 гг.</w:t>
      </w:r>
    </w:p>
    <w:tbl>
      <w:tblPr>
        <w:tblW w:w="0" w:type="auto"/>
        <w:tblInd w:w="103" w:type="dxa"/>
        <w:tblLook w:val="04A0"/>
      </w:tblPr>
      <w:tblGrid>
        <w:gridCol w:w="2472"/>
        <w:gridCol w:w="591"/>
        <w:gridCol w:w="958"/>
        <w:gridCol w:w="591"/>
        <w:gridCol w:w="958"/>
        <w:gridCol w:w="591"/>
        <w:gridCol w:w="958"/>
        <w:gridCol w:w="1316"/>
        <w:gridCol w:w="1316"/>
      </w:tblGrid>
      <w:tr w:rsidR="00844976" w:rsidRPr="00844976" w:rsidTr="008449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 xml:space="preserve">Наименование вычетов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темп роста</w:t>
            </w:r>
          </w:p>
        </w:tc>
      </w:tr>
      <w:tr w:rsidR="00844976" w:rsidRPr="00844976" w:rsidTr="00844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2012,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2013, %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Социальные вычеты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99,57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Имущественные вычеты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105,94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Профессиональные  вычеты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106,25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105,11</w:t>
            </w:r>
          </w:p>
        </w:tc>
      </w:tr>
    </w:tbl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данных таблицы 4</w:t>
      </w:r>
      <w:r w:rsidRPr="00844976">
        <w:rPr>
          <w:sz w:val="28"/>
          <w:szCs w:val="28"/>
          <w:lang w:eastAsia="ru-RU"/>
        </w:rPr>
        <w:t xml:space="preserve"> позволяет сделать выводы, что за период с 2012 по 2014 годы увеличилось количество налогоплательщиков, претендующих на получение социальных, имущественных и профессиональных вычетов по НДФЛ. Структура налоговых вычетов в 201</w:t>
      </w:r>
      <w:r w:rsidR="00830EC1">
        <w:rPr>
          <w:sz w:val="28"/>
          <w:szCs w:val="28"/>
          <w:lang w:eastAsia="ru-RU"/>
        </w:rPr>
        <w:t>2</w:t>
      </w:r>
      <w:r w:rsidRPr="00844976">
        <w:rPr>
          <w:sz w:val="28"/>
          <w:szCs w:val="28"/>
          <w:lang w:eastAsia="ru-RU"/>
        </w:rPr>
        <w:t>-</w:t>
      </w:r>
      <w:r w:rsidR="00830EC1">
        <w:rPr>
          <w:sz w:val="28"/>
          <w:szCs w:val="28"/>
          <w:lang w:eastAsia="ru-RU"/>
        </w:rPr>
        <w:t>2014</w:t>
      </w:r>
      <w:r w:rsidRPr="00844976">
        <w:rPr>
          <w:sz w:val="28"/>
          <w:szCs w:val="28"/>
          <w:lang w:eastAsia="ru-RU"/>
        </w:rPr>
        <w:t xml:space="preserve"> годах представлена на рисунке 1.</w:t>
      </w:r>
    </w:p>
    <w:p w:rsidR="00844976" w:rsidRPr="00844976" w:rsidRDefault="00844976" w:rsidP="00844976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drawing>
          <wp:inline distT="0" distB="0" distL="0" distR="0">
            <wp:extent cx="4057650" cy="2524125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5 -</w:t>
      </w:r>
      <w:r w:rsidRPr="00844976">
        <w:rPr>
          <w:sz w:val="28"/>
          <w:szCs w:val="28"/>
          <w:lang w:eastAsia="ru-RU"/>
        </w:rPr>
        <w:t xml:space="preserve"> Структура налоговых вычетов по НДФЛ в </w:t>
      </w:r>
      <w:r w:rsidR="00830EC1">
        <w:rPr>
          <w:sz w:val="28"/>
          <w:szCs w:val="28"/>
          <w:lang w:eastAsia="ru-RU"/>
        </w:rPr>
        <w:t>2012</w:t>
      </w:r>
      <w:r w:rsidRPr="00844976">
        <w:rPr>
          <w:sz w:val="28"/>
          <w:szCs w:val="28"/>
          <w:lang w:eastAsia="ru-RU"/>
        </w:rPr>
        <w:t>-</w:t>
      </w:r>
      <w:r w:rsidR="00830EC1">
        <w:rPr>
          <w:sz w:val="28"/>
          <w:szCs w:val="28"/>
          <w:lang w:eastAsia="ru-RU"/>
        </w:rPr>
        <w:t>2014</w:t>
      </w:r>
      <w:r w:rsidRPr="00844976">
        <w:rPr>
          <w:sz w:val="28"/>
          <w:szCs w:val="28"/>
          <w:lang w:eastAsia="ru-RU"/>
        </w:rPr>
        <w:t xml:space="preserve"> гг.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lastRenderedPageBreak/>
        <w:t>Как видно из представленного рисунка большее количество налогоплательщиков претендует на получение имущественных налоговых вычетов, их доля в 2014 году составляет 83,89% от общего числа налогоплательщиков, претендующих на получение налоговых вычетов. Стоит отметить, что в анализируемом периоде доля имущественных налоговых вычетов увеличивалась на протяжении всего налогового периода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Проведем анализ динамики и структуры социальных и имущественных вычетов в расс</w:t>
      </w:r>
      <w:r>
        <w:rPr>
          <w:sz w:val="28"/>
          <w:szCs w:val="28"/>
          <w:lang w:eastAsia="ru-RU"/>
        </w:rPr>
        <w:t>матриваемом периоде. В таблице 5</w:t>
      </w:r>
      <w:r w:rsidRPr="00844976">
        <w:rPr>
          <w:sz w:val="28"/>
          <w:szCs w:val="28"/>
          <w:lang w:eastAsia="ru-RU"/>
        </w:rPr>
        <w:t xml:space="preserve"> представлена динамика и структура социальных налоговых вычетов.</w:t>
      </w:r>
    </w:p>
    <w:p w:rsidR="00844976" w:rsidRDefault="00844976" w:rsidP="00844976">
      <w:pPr>
        <w:widowControl w:val="0"/>
        <w:spacing w:line="360" w:lineRule="auto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 xml:space="preserve">5 - </w:t>
      </w:r>
      <w:r w:rsidRPr="00844976">
        <w:rPr>
          <w:sz w:val="28"/>
          <w:szCs w:val="28"/>
          <w:lang w:eastAsia="ru-RU"/>
        </w:rPr>
        <w:t>Структура и динамика социальных налоговых вычетов в 2012- 2014 гг.</w:t>
      </w:r>
    </w:p>
    <w:tbl>
      <w:tblPr>
        <w:tblW w:w="0" w:type="auto"/>
        <w:tblInd w:w="103" w:type="dxa"/>
        <w:tblLook w:val="04A0"/>
      </w:tblPr>
      <w:tblGrid>
        <w:gridCol w:w="3647"/>
        <w:gridCol w:w="744"/>
        <w:gridCol w:w="744"/>
        <w:gridCol w:w="743"/>
        <w:gridCol w:w="744"/>
        <w:gridCol w:w="743"/>
        <w:gridCol w:w="744"/>
        <w:gridCol w:w="821"/>
        <w:gridCol w:w="821"/>
      </w:tblGrid>
      <w:tr w:rsidR="00844976" w:rsidRPr="00844976" w:rsidTr="008449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Наименование социальных налоговых вычетов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темп роста, %</w:t>
            </w:r>
          </w:p>
        </w:tc>
      </w:tr>
      <w:tr w:rsidR="00844976" w:rsidRPr="00844976" w:rsidTr="00844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2013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обучение детей,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98,88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обучение детей,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170,83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101,46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обучение брата (сестры),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98,68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обучение брата (сестры),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161,76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115,25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лечение и приобретение медикаментов,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109,80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лечение и приобретение медикаментов,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108,07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дорогостоящее лечение,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114,29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 на дорогостоящее лечение,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118,79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прочие социальные вычеты,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40,00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прочие социальные вычеты,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40,00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Итого,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99,57</w:t>
            </w:r>
          </w:p>
        </w:tc>
      </w:tr>
      <w:tr w:rsidR="00844976" w:rsidRPr="00844976" w:rsidTr="008449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Итого,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107,75</w:t>
            </w:r>
          </w:p>
        </w:tc>
      </w:tr>
    </w:tbl>
    <w:p w:rsidR="00844976" w:rsidRPr="00844976" w:rsidRDefault="00844976" w:rsidP="00844976">
      <w:pPr>
        <w:widowControl w:val="0"/>
        <w:spacing w:line="360" w:lineRule="auto"/>
        <w:ind w:firstLine="851"/>
        <w:jc w:val="right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Из представленной таблицы следует, что по итогам 2013 года к социальным имущественным вычетам заявлено 12673 тыс. руб., что на 7,75 % больше чем вычетов по итогам 2012 года и на 54, 15% больше чем вычетов в 2012 году по итогам 2011 года. Структура социальных налоговых вычетов в денежном выражении представлена на рисунках 2-4</w:t>
      </w:r>
    </w:p>
    <w:p w:rsidR="00844976" w:rsidRPr="00844976" w:rsidRDefault="00844976" w:rsidP="00844976">
      <w:pPr>
        <w:widowControl w:val="0"/>
        <w:spacing w:line="360" w:lineRule="auto"/>
        <w:jc w:val="center"/>
        <w:rPr>
          <w:noProof/>
          <w:sz w:val="28"/>
          <w:szCs w:val="28"/>
          <w:lang w:eastAsia="ru-RU"/>
        </w:rPr>
      </w:pPr>
      <w:r w:rsidRPr="0084497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770" cy="2651593"/>
            <wp:effectExtent l="12187" t="5882" r="6093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6 -</w:t>
      </w:r>
      <w:r w:rsidRPr="00844976">
        <w:rPr>
          <w:sz w:val="28"/>
          <w:szCs w:val="28"/>
          <w:lang w:eastAsia="ru-RU"/>
        </w:rPr>
        <w:t xml:space="preserve"> Структура социальных налоговых вычетов за </w:t>
      </w:r>
      <w:r>
        <w:rPr>
          <w:sz w:val="28"/>
          <w:szCs w:val="28"/>
          <w:lang w:eastAsia="ru-RU"/>
        </w:rPr>
        <w:t>2012</w:t>
      </w:r>
      <w:r w:rsidRPr="00844976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Как следует из</w:t>
      </w:r>
      <w:r>
        <w:rPr>
          <w:sz w:val="28"/>
          <w:szCs w:val="28"/>
          <w:lang w:eastAsia="ru-RU"/>
        </w:rPr>
        <w:t xml:space="preserve"> представленных диаграмм (рис. 6</w:t>
      </w:r>
      <w:r w:rsidRPr="0084497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8</w:t>
      </w:r>
      <w:r w:rsidRPr="00844976">
        <w:rPr>
          <w:sz w:val="28"/>
          <w:szCs w:val="28"/>
          <w:lang w:eastAsia="ru-RU"/>
        </w:rPr>
        <w:t>), наибольшую долю в структуре социальных налоговых вычетов занимают вычеты на обучение. В совокупности на данный вид вычетов приходится более 81,9% от всей суммы налоговых вычетов, заявленных налогоплательщиками по итогам 2014 г. Также весомую долю занимают вычеты на приобретение медикаментов, их доля составляет 15,22%.</w:t>
      </w:r>
    </w:p>
    <w:p w:rsidR="00844976" w:rsidRPr="00844976" w:rsidRDefault="00844976" w:rsidP="00844976">
      <w:pPr>
        <w:widowControl w:val="0"/>
        <w:spacing w:line="360" w:lineRule="auto"/>
        <w:ind w:firstLine="851"/>
        <w:jc w:val="center"/>
        <w:rPr>
          <w:sz w:val="28"/>
          <w:szCs w:val="28"/>
          <w:lang w:eastAsia="ru-RU"/>
        </w:rPr>
      </w:pPr>
      <w:r w:rsidRPr="00844976">
        <w:rPr>
          <w:noProof/>
          <w:sz w:val="28"/>
          <w:szCs w:val="28"/>
          <w:lang w:eastAsia="ru-RU"/>
        </w:rPr>
        <w:drawing>
          <wp:inline distT="0" distB="0" distL="0" distR="0">
            <wp:extent cx="4572770" cy="2746632"/>
            <wp:effectExtent l="12187" t="6093" r="6093" b="0"/>
            <wp:docPr id="1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7 -</w:t>
      </w:r>
      <w:r w:rsidRPr="00844976">
        <w:rPr>
          <w:sz w:val="28"/>
          <w:szCs w:val="28"/>
          <w:lang w:eastAsia="ru-RU"/>
        </w:rPr>
        <w:t xml:space="preserve"> Структура социальных налоговых вычетов за </w:t>
      </w:r>
      <w:r>
        <w:rPr>
          <w:sz w:val="28"/>
          <w:szCs w:val="28"/>
          <w:lang w:eastAsia="ru-RU"/>
        </w:rPr>
        <w:t>2013</w:t>
      </w:r>
      <w:r w:rsidRPr="00844976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.</w:t>
      </w:r>
    </w:p>
    <w:p w:rsidR="00844976" w:rsidRPr="00844976" w:rsidRDefault="00844976" w:rsidP="00844976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  <w:r w:rsidRPr="0084497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770" cy="2746632"/>
            <wp:effectExtent l="12187" t="6093" r="6093" b="0"/>
            <wp:docPr id="1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8 -</w:t>
      </w:r>
      <w:r w:rsidRPr="00844976">
        <w:rPr>
          <w:sz w:val="28"/>
          <w:szCs w:val="28"/>
          <w:lang w:eastAsia="ru-RU"/>
        </w:rPr>
        <w:t xml:space="preserve"> Структура социальных налоговых вычетов за </w:t>
      </w:r>
      <w:r>
        <w:rPr>
          <w:sz w:val="28"/>
          <w:szCs w:val="28"/>
          <w:lang w:eastAsia="ru-RU"/>
        </w:rPr>
        <w:t>2014</w:t>
      </w:r>
      <w:r w:rsidRPr="00844976">
        <w:rPr>
          <w:sz w:val="28"/>
          <w:szCs w:val="28"/>
          <w:lang w:eastAsia="ru-RU"/>
        </w:rPr>
        <w:t xml:space="preserve"> г.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Структура и динамика имущественных налоговых </w:t>
      </w:r>
      <w:r w:rsidR="00830EC1">
        <w:rPr>
          <w:sz w:val="28"/>
          <w:szCs w:val="28"/>
          <w:lang w:eastAsia="ru-RU"/>
        </w:rPr>
        <w:t>вычетов представлена в таблице 6</w:t>
      </w:r>
      <w:r w:rsidRPr="00844976">
        <w:rPr>
          <w:sz w:val="28"/>
          <w:szCs w:val="28"/>
          <w:lang w:eastAsia="ru-RU"/>
        </w:rPr>
        <w:t xml:space="preserve">. </w:t>
      </w:r>
    </w:p>
    <w:p w:rsidR="00844976" w:rsidRDefault="00844976" w:rsidP="00844976">
      <w:pPr>
        <w:widowControl w:val="0"/>
        <w:spacing w:line="360" w:lineRule="auto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 xml:space="preserve">6 - </w:t>
      </w:r>
      <w:r w:rsidRPr="00844976">
        <w:rPr>
          <w:sz w:val="28"/>
          <w:szCs w:val="28"/>
          <w:lang w:eastAsia="ru-RU"/>
        </w:rPr>
        <w:t>Структура и динамика имущественных налоговых вычетов</w:t>
      </w:r>
    </w:p>
    <w:tbl>
      <w:tblPr>
        <w:tblW w:w="9927" w:type="dxa"/>
        <w:tblInd w:w="103" w:type="dxa"/>
        <w:tblLayout w:type="fixed"/>
        <w:tblLook w:val="04A0"/>
      </w:tblPr>
      <w:tblGrid>
        <w:gridCol w:w="3549"/>
        <w:gridCol w:w="850"/>
        <w:gridCol w:w="696"/>
        <w:gridCol w:w="863"/>
        <w:gridCol w:w="696"/>
        <w:gridCol w:w="864"/>
        <w:gridCol w:w="696"/>
        <w:gridCol w:w="863"/>
        <w:gridCol w:w="850"/>
      </w:tblGrid>
      <w:tr w:rsidR="00844976" w:rsidRPr="00844976" w:rsidTr="00844976">
        <w:trPr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Наименование имущественных налоговых вычетов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Темп роста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Значение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%к итогу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2014/ 2013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Вычеты, предусмотренные пп. 1 и пп. 1.1 п. 1 статьи 220 НК РФ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2407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99,42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99,56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99,65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106,03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Вычеты, предусмотренные пп. 1 и пп. 1.1 п. 1 статьи 220 НК РФ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65712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92,48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69321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71184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93,34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102,69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Вычеты, в соответствии с абзацем 2 пп. 1 п. 1 ст. 220,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0,35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84,62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Вычеты, в соответствии с абзацем 2 пп. 1 п. 1 ст. 220,тыс.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5346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6,99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5081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97,47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Итого,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2421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2965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3141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105,94</w:t>
            </w:r>
          </w:p>
        </w:tc>
      </w:tr>
      <w:tr w:rsidR="00844976" w:rsidRPr="00844976" w:rsidTr="0084497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Итого,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71058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74534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76265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76" w:rsidRPr="00844976" w:rsidRDefault="00844976" w:rsidP="00844976">
            <w:pPr>
              <w:widowControl w:val="0"/>
              <w:rPr>
                <w:sz w:val="22"/>
              </w:rPr>
            </w:pPr>
            <w:r w:rsidRPr="00844976">
              <w:rPr>
                <w:sz w:val="22"/>
              </w:rPr>
              <w:t>102,32</w:t>
            </w:r>
          </w:p>
        </w:tc>
      </w:tr>
    </w:tbl>
    <w:p w:rsidR="00844976" w:rsidRPr="00844976" w:rsidRDefault="00844976" w:rsidP="00844976">
      <w:pPr>
        <w:widowControl w:val="0"/>
        <w:spacing w:line="360" w:lineRule="auto"/>
        <w:ind w:firstLine="851"/>
        <w:jc w:val="right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Как видно из представленной таблицы, абсолютно большая доля налоговых вычетов приходится на вычеты, в суммах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</w:t>
      </w:r>
      <w:r w:rsidRPr="00844976">
        <w:rPr>
          <w:sz w:val="28"/>
          <w:szCs w:val="28"/>
          <w:lang w:eastAsia="ru-RU"/>
        </w:rPr>
        <w:lastRenderedPageBreak/>
        <w:t>собственности налогоплательщика менее трех лет, но не превышающих в целом 1 000 000 рублей, а также в суммах, полученных в налоговом периоде от продажи иного имущества, находившегося в собственности налогоплательщика менее трех лет, но не превышающих в целом 250 000 рублей.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На долю данной категории вычетов приходится свыше 93 % всей сумы имущественных вычетов, по итогам 2013 года. На долю вычетов, связанных с расходами на новое строительство либо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(долей) в них, а также на погашение кредитов по целевым займам приходится менее 7% от суммы вычетов, предъявленных налогоплательщиками по итогам 2013 года. Динамика налоговых вычетов в рублевом эквив</w:t>
      </w:r>
      <w:r>
        <w:rPr>
          <w:sz w:val="28"/>
          <w:szCs w:val="28"/>
          <w:lang w:eastAsia="ru-RU"/>
        </w:rPr>
        <w:t>аленте представлена на рисунке 9.</w:t>
      </w:r>
    </w:p>
    <w:p w:rsidR="00844976" w:rsidRPr="00844976" w:rsidRDefault="00844976" w:rsidP="00844976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  <w:r w:rsidRPr="00844976">
        <w:rPr>
          <w:noProof/>
          <w:sz w:val="28"/>
          <w:szCs w:val="28"/>
          <w:lang w:eastAsia="ru-RU"/>
        </w:rPr>
        <w:drawing>
          <wp:inline distT="0" distB="0" distL="0" distR="0">
            <wp:extent cx="4652012" cy="2746632"/>
            <wp:effectExtent l="12190" t="6093" r="3048" b="0"/>
            <wp:docPr id="1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4976" w:rsidRPr="00844976" w:rsidRDefault="00844976" w:rsidP="00844976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9 -</w:t>
      </w:r>
      <w:r w:rsidRPr="00844976">
        <w:rPr>
          <w:sz w:val="28"/>
          <w:szCs w:val="28"/>
          <w:lang w:eastAsia="ru-RU"/>
        </w:rPr>
        <w:t xml:space="preserve"> Динамика налоговых вычетов по НДФЛ в 2012-2014</w:t>
      </w:r>
      <w:r>
        <w:rPr>
          <w:sz w:val="28"/>
          <w:szCs w:val="28"/>
          <w:lang w:eastAsia="ru-RU"/>
        </w:rPr>
        <w:t xml:space="preserve"> </w:t>
      </w:r>
      <w:r w:rsidRPr="00844976">
        <w:rPr>
          <w:sz w:val="28"/>
          <w:szCs w:val="28"/>
          <w:lang w:eastAsia="ru-RU"/>
        </w:rPr>
        <w:t>гг. в руб.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Как видно из представленного рисунка, наибольшая доля налоговых вычетов в рублевом выражении приходится на профессиональные налоговые вычеты, в то время как доля социальных налоговых вычетов в рассматриваемом периоде минимальна.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Таким образом, анализ налоговых вычетов по НДФЛ по </w:t>
      </w:r>
      <w:r>
        <w:rPr>
          <w:sz w:val="28"/>
          <w:szCs w:val="28"/>
          <w:lang w:eastAsia="ru-RU"/>
        </w:rPr>
        <w:t>И</w:t>
      </w:r>
      <w:r w:rsidRPr="00844976">
        <w:rPr>
          <w:sz w:val="28"/>
          <w:szCs w:val="28"/>
          <w:lang w:eastAsia="ru-RU"/>
        </w:rPr>
        <w:t xml:space="preserve">ФНС России </w:t>
      </w:r>
      <w:r w:rsidRPr="00844976">
        <w:rPr>
          <w:sz w:val="28"/>
          <w:szCs w:val="28"/>
          <w:lang w:eastAsia="ru-RU"/>
        </w:rPr>
        <w:lastRenderedPageBreak/>
        <w:t xml:space="preserve">по </w:t>
      </w:r>
      <w:r>
        <w:rPr>
          <w:sz w:val="28"/>
          <w:szCs w:val="28"/>
          <w:lang w:eastAsia="ru-RU"/>
        </w:rPr>
        <w:t>Октябрьскому району г. Барнаула</w:t>
      </w:r>
      <w:r w:rsidRPr="00844976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>2012</w:t>
      </w:r>
      <w:r w:rsidRPr="00844976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>2014</w:t>
      </w:r>
      <w:r w:rsidRPr="00844976">
        <w:rPr>
          <w:sz w:val="28"/>
          <w:szCs w:val="28"/>
          <w:lang w:eastAsia="ru-RU"/>
        </w:rPr>
        <w:t xml:space="preserve"> годы показал, что в анализируемом периоде произошло увеличение предоставленных налоговых вычетов как в денежном, так и в натуральном выражении. В натуральном выражении более всего предоставлено имущественных налоговых вычетов, причем большинство из них связано с продажей имущества, находящегося в собственности менее трех лет. 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>Доля профессиональных налоговых вычетов занимает всего 3,63% в натуральном выражении, однако в рублевом выражении величина профессиональных налоговых вычетов имеет наибольшее значение. Наименьшее значение в рублевом эквиваленте занимает доля социальных налоговых вычетов.</w:t>
      </w:r>
    </w:p>
    <w:p w:rsidR="00844976" w:rsidRPr="00844976" w:rsidRDefault="00844976" w:rsidP="00844976">
      <w:pPr>
        <w:widowControl w:val="0"/>
        <w:spacing w:line="360" w:lineRule="auto"/>
        <w:ind w:firstLine="851"/>
        <w:rPr>
          <w:sz w:val="28"/>
          <w:szCs w:val="28"/>
          <w:lang w:eastAsia="ru-RU"/>
        </w:rPr>
      </w:pPr>
      <w:r w:rsidRPr="00844976">
        <w:rPr>
          <w:sz w:val="28"/>
          <w:szCs w:val="28"/>
          <w:lang w:eastAsia="ru-RU"/>
        </w:rPr>
        <w:t xml:space="preserve">Тем не менее, по итогам </w:t>
      </w:r>
      <w:r>
        <w:rPr>
          <w:sz w:val="28"/>
          <w:szCs w:val="28"/>
          <w:lang w:eastAsia="ru-RU"/>
        </w:rPr>
        <w:t>2014</w:t>
      </w:r>
      <w:r w:rsidRPr="00844976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>И</w:t>
      </w:r>
      <w:r w:rsidRPr="00844976">
        <w:rPr>
          <w:sz w:val="28"/>
          <w:szCs w:val="28"/>
          <w:lang w:eastAsia="ru-RU"/>
        </w:rPr>
        <w:t xml:space="preserve">ФНС России по </w:t>
      </w:r>
      <w:r>
        <w:rPr>
          <w:sz w:val="28"/>
          <w:szCs w:val="28"/>
          <w:lang w:eastAsia="ru-RU"/>
        </w:rPr>
        <w:t>Октябрьскому району г. Барнаула</w:t>
      </w:r>
      <w:r w:rsidRPr="00844976">
        <w:rPr>
          <w:sz w:val="28"/>
          <w:szCs w:val="28"/>
          <w:lang w:eastAsia="ru-RU"/>
        </w:rPr>
        <w:t xml:space="preserve"> было предоставлено 234451 тыс. руб. налоговых вычетов по НДФЛ. При этом следует отметить, что в анализируемом периоде имеется тенденция к увеличению суммы налоговых вычетов, предоставленных </w:t>
      </w:r>
      <w:r>
        <w:rPr>
          <w:sz w:val="28"/>
          <w:szCs w:val="28"/>
          <w:lang w:eastAsia="ru-RU"/>
        </w:rPr>
        <w:t>И</w:t>
      </w:r>
      <w:r w:rsidRPr="00844976">
        <w:rPr>
          <w:sz w:val="28"/>
          <w:szCs w:val="28"/>
          <w:lang w:eastAsia="ru-RU"/>
        </w:rPr>
        <w:t xml:space="preserve">ФНС России по </w:t>
      </w:r>
      <w:r>
        <w:rPr>
          <w:sz w:val="28"/>
          <w:szCs w:val="28"/>
          <w:lang w:eastAsia="ru-RU"/>
        </w:rPr>
        <w:t>Октябрьскому району г. Барнаула</w:t>
      </w:r>
      <w:r w:rsidRPr="00844976">
        <w:rPr>
          <w:sz w:val="28"/>
          <w:szCs w:val="28"/>
          <w:lang w:eastAsia="ru-RU"/>
        </w:rPr>
        <w:t>. Так за анализируемый период прирост суммы налоговых вычетов по НДФЛ составил 17,98%.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44976" w:rsidRDefault="00844976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bookmarkStart w:id="5" w:name="_Toc309812531"/>
      <w:r>
        <w:br w:type="page"/>
      </w:r>
    </w:p>
    <w:p w:rsidR="00C71128" w:rsidRPr="00C71128" w:rsidRDefault="00C71128" w:rsidP="00830EC1">
      <w:pPr>
        <w:pStyle w:val="2"/>
      </w:pPr>
      <w:bookmarkStart w:id="6" w:name="_Toc405837596"/>
      <w:r w:rsidRPr="00C71128">
        <w:lastRenderedPageBreak/>
        <w:t>3</w:t>
      </w:r>
      <w:r>
        <w:t xml:space="preserve"> </w:t>
      </w:r>
      <w:r w:rsidRPr="00C71128">
        <w:t>Администрирование</w:t>
      </w:r>
      <w:r>
        <w:t xml:space="preserve"> </w:t>
      </w:r>
      <w:r w:rsidRPr="00C71128">
        <w:t>платежей,</w:t>
      </w:r>
      <w:r>
        <w:t xml:space="preserve"> </w:t>
      </w:r>
      <w:r w:rsidRPr="00C71128">
        <w:t>возврат</w:t>
      </w:r>
      <w:r>
        <w:t xml:space="preserve"> </w:t>
      </w:r>
      <w:r w:rsidRPr="00C71128">
        <w:t>налогоплательщику</w:t>
      </w:r>
      <w:r>
        <w:t xml:space="preserve"> </w:t>
      </w:r>
      <w:r w:rsidRPr="00C71128">
        <w:t>излишне</w:t>
      </w:r>
      <w:r>
        <w:t xml:space="preserve"> </w:t>
      </w:r>
      <w:r w:rsidRPr="00C71128">
        <w:t>изысканных</w:t>
      </w:r>
      <w:r>
        <w:t xml:space="preserve"> </w:t>
      </w:r>
      <w:r w:rsidRPr="00C71128">
        <w:t>и</w:t>
      </w:r>
      <w:r>
        <w:t xml:space="preserve"> </w:t>
      </w:r>
      <w:r w:rsidRPr="00C71128">
        <w:t>уплаченных</w:t>
      </w:r>
      <w:r>
        <w:t xml:space="preserve"> </w:t>
      </w:r>
      <w:r w:rsidRPr="00C71128">
        <w:t>налогов</w:t>
      </w:r>
      <w:r>
        <w:t xml:space="preserve"> </w:t>
      </w:r>
      <w:r w:rsidRPr="00C71128">
        <w:t>и</w:t>
      </w:r>
      <w:r>
        <w:t xml:space="preserve"> </w:t>
      </w:r>
      <w:r w:rsidRPr="00C71128">
        <w:t>других</w:t>
      </w:r>
      <w:r>
        <w:t xml:space="preserve"> </w:t>
      </w:r>
      <w:r w:rsidRPr="00C71128">
        <w:t>платежей</w:t>
      </w:r>
      <w:bookmarkEnd w:id="5"/>
      <w:bookmarkEnd w:id="6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контролируют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уполномочены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переплата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сопровождается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 w:rsidR="00844976">
        <w:rPr>
          <w:sz w:val="28"/>
          <w:szCs w:val="28"/>
        </w:rPr>
        <w:t>-</w:t>
      </w:r>
      <w:r w:rsidRPr="00C71128">
        <w:rPr>
          <w:sz w:val="28"/>
          <w:szCs w:val="28"/>
        </w:rPr>
        <w:t>другому.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заключение,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регламентируется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гл.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предстоящих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="00844976" w:rsidRPr="00C71128">
        <w:rPr>
          <w:sz w:val="28"/>
          <w:szCs w:val="28"/>
        </w:rPr>
        <w:t>налогоплательщика,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сумму.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ставшем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известным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обнаружения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обнаружения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свидетельствующих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возможной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подписываемым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предстоящих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="00844976" w:rsidRPr="00C71128">
        <w:rPr>
          <w:sz w:val="28"/>
          <w:szCs w:val="28"/>
        </w:rPr>
        <w:t>налогоплательщика,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предстоящих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проводилась.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подлежащим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Кодексом,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самостоятельно.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письменному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подлежащим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взысканию,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(задолженности).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подписания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совместная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проводилась.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(возврате)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(возврата)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решения.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расписку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подтверждающим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возвращена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проценты,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Процентная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рефинансирования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действовавшей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казначейства,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осуществивший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возвращенных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средств.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штрафам,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подлежащим,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установив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этого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расписку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подтверждающим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процентами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Проценты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взыскания,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возврата.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Процентная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действовавшей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рефинансирования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Федерации.</w:t>
      </w:r>
    </w:p>
    <w:p w:rsidR="00830EC1" w:rsidRPr="00ED351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D351B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проверка.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камеральные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выездные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проверки.</w:t>
      </w:r>
      <w:r>
        <w:rPr>
          <w:sz w:val="28"/>
          <w:szCs w:val="28"/>
        </w:rPr>
        <w:t xml:space="preserve"> 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D351B">
        <w:rPr>
          <w:sz w:val="28"/>
          <w:szCs w:val="28"/>
        </w:rPr>
        <w:t>Камеральная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налогоплательщиками,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органа.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D351B">
        <w:rPr>
          <w:sz w:val="28"/>
          <w:szCs w:val="28"/>
        </w:rPr>
        <w:t>Суммы,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поступающие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ИФНС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г. Барнаула </w:t>
      </w:r>
      <w:r w:rsidRPr="00ED351B">
        <w:rPr>
          <w:sz w:val="28"/>
          <w:szCs w:val="28"/>
        </w:rPr>
        <w:t>камерально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проверено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правильности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своевременности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выявленного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недобора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казну,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несвоевременного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начислено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предъявлено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санкций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376,1</w:t>
      </w:r>
      <w:r>
        <w:rPr>
          <w:sz w:val="28"/>
          <w:szCs w:val="28"/>
        </w:rPr>
        <w:t xml:space="preserve"> тыс. </w:t>
      </w:r>
      <w:r w:rsidRPr="00ED351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91,6</w:t>
      </w:r>
      <w:r>
        <w:rPr>
          <w:sz w:val="28"/>
          <w:szCs w:val="28"/>
        </w:rPr>
        <w:t xml:space="preserve"> тыс. </w:t>
      </w:r>
      <w:r w:rsidRPr="00ED351B">
        <w:rPr>
          <w:sz w:val="28"/>
          <w:szCs w:val="28"/>
        </w:rPr>
        <w:t>руб.</w:t>
      </w:r>
    </w:p>
    <w:p w:rsidR="00830EC1" w:rsidRPr="00F54B82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D47A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камеральных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доначислено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lastRenderedPageBreak/>
        <w:t>налогов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3927</w:t>
      </w:r>
      <w:r>
        <w:rPr>
          <w:sz w:val="28"/>
          <w:szCs w:val="28"/>
        </w:rPr>
        <w:t xml:space="preserve"> тыс</w:t>
      </w:r>
      <w:r w:rsidRPr="00D47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(рис</w:t>
      </w:r>
      <w:r>
        <w:rPr>
          <w:sz w:val="28"/>
          <w:szCs w:val="28"/>
        </w:rPr>
        <w:t>унок 10</w:t>
      </w:r>
      <w:r w:rsidRPr="00D47AFB">
        <w:rPr>
          <w:sz w:val="28"/>
          <w:szCs w:val="28"/>
        </w:rPr>
        <w:t>)</w:t>
      </w:r>
    </w:p>
    <w:p w:rsidR="00830EC1" w:rsidRPr="0095326D" w:rsidRDefault="00830EC1" w:rsidP="00830EC1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3604717" cy="3114675"/>
            <wp:effectExtent l="19050" t="0" r="0" b="0"/>
            <wp:docPr id="15" name="Объект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0EC1" w:rsidRPr="009F333E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-70.65pt;margin-top:268.6pt;width:1in;height:7.2pt;z-index:251660288" o:allowincell="f" filled="f" stroked="f"/>
        </w:pict>
      </w:r>
      <w:r w:rsidRPr="009F333E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10 </w:t>
      </w:r>
      <w:r w:rsidRPr="009F33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Доначислено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9F333E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</w:t>
      </w:r>
    </w:p>
    <w:p w:rsidR="00830EC1" w:rsidRPr="009F333E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D351B">
        <w:rPr>
          <w:sz w:val="28"/>
          <w:szCs w:val="28"/>
        </w:rPr>
        <w:t>Выездная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(налогового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агента)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нескольким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налогам.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выездные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период.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2.15pt;margin-top:202.7pt;width:36pt;height:7.2pt;z-index:251662336" o:allowincell="f" filled="f" stroked="f">
            <v:textbox style="mso-next-textbox:#_x0000_s1028">
              <w:txbxContent>
                <w:p w:rsidR="00830EC1" w:rsidRDefault="00830EC1" w:rsidP="00830EC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82657D">
        <w:rPr>
          <w:sz w:val="28"/>
          <w:szCs w:val="28"/>
        </w:rPr>
        <w:t>Камеральная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суммах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начисленных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удержанном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подоходном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динамике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доначислений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камеральных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ИФНС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г. Барнаула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налогу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показано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рисунке</w:t>
      </w:r>
      <w:r>
        <w:rPr>
          <w:sz w:val="28"/>
          <w:szCs w:val="28"/>
        </w:rPr>
        <w:t xml:space="preserve"> 12</w:t>
      </w:r>
      <w:r w:rsidRPr="00ED351B">
        <w:rPr>
          <w:sz w:val="28"/>
          <w:szCs w:val="28"/>
        </w:rPr>
        <w:t>.</w:t>
      </w:r>
    </w:p>
    <w:p w:rsidR="00830EC1" w:rsidRPr="00ED351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95326D" w:rsidRDefault="00830EC1" w:rsidP="00830EC1">
      <w:pPr>
        <w:widowControl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42264" cy="2505075"/>
            <wp:effectExtent l="0" t="0" r="0" b="0"/>
            <wp:docPr id="16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0EC1" w:rsidRPr="00ED351B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  <w:r w:rsidRPr="00ED351B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11 </w:t>
      </w:r>
      <w:r w:rsidRPr="00ED35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Доначислено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ИФНС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г. Барнаула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работы</w:t>
      </w:r>
    </w:p>
    <w:p w:rsidR="00830EC1" w:rsidRPr="00ED351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82657D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2657D">
        <w:rPr>
          <w:sz w:val="28"/>
          <w:szCs w:val="28"/>
        </w:rPr>
        <w:t>Камеральная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совокупном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специфику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проверяется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расчетов,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ставок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подвергается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обоснованность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заявленных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льгот,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приложениях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сверка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декларациях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выплат.</w:t>
      </w:r>
    </w:p>
    <w:p w:rsidR="00830EC1" w:rsidRPr="0095326D" w:rsidRDefault="00830EC1" w:rsidP="00830EC1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4305300" cy="2912948"/>
            <wp:effectExtent l="19050" t="0" r="0" b="0"/>
            <wp:docPr id="17" name="Объект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0EC1" w:rsidRPr="00ED351B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  <w:r w:rsidRPr="00ED351B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12 </w:t>
      </w:r>
      <w:r w:rsidRPr="00ED35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Доначислено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20</w:t>
      </w:r>
      <w:r>
        <w:rPr>
          <w:sz w:val="28"/>
          <w:szCs w:val="28"/>
        </w:rPr>
        <w:t xml:space="preserve">10 </w:t>
      </w:r>
      <w:r w:rsidRPr="00ED35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D351B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ED351B">
        <w:rPr>
          <w:sz w:val="28"/>
          <w:szCs w:val="28"/>
        </w:rPr>
        <w:t>гг.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2657D">
        <w:rPr>
          <w:sz w:val="28"/>
          <w:szCs w:val="28"/>
        </w:rPr>
        <w:lastRenderedPageBreak/>
        <w:t>поданных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представлено на </w:t>
      </w:r>
      <w:r w:rsidRPr="0082657D">
        <w:rPr>
          <w:sz w:val="28"/>
          <w:szCs w:val="28"/>
        </w:rPr>
        <w:t>рис</w:t>
      </w:r>
      <w:r>
        <w:rPr>
          <w:sz w:val="28"/>
          <w:szCs w:val="28"/>
        </w:rPr>
        <w:t>. 8</w:t>
      </w:r>
      <w:r w:rsidRPr="0082657D">
        <w:rPr>
          <w:sz w:val="28"/>
          <w:szCs w:val="28"/>
        </w:rPr>
        <w:t>.</w:t>
      </w:r>
    </w:p>
    <w:p w:rsidR="00830EC1" w:rsidRDefault="00830EC1" w:rsidP="00830EC1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4886325" cy="3571875"/>
            <wp:effectExtent l="0" t="0" r="0" b="0"/>
            <wp:docPr id="18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30EC1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  <w:r w:rsidRPr="0082657D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13 </w:t>
      </w:r>
      <w:r w:rsidRPr="008265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району</w:t>
      </w:r>
    </w:p>
    <w:p w:rsidR="00830EC1" w:rsidRPr="0082657D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2657D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камеральной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проверкой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(все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увеличивающегося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года)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короткий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срок.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</w:t>
      </w:r>
      <w:r w:rsidRPr="0082657D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249599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79046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170553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декларации</w:t>
      </w:r>
    </w:p>
    <w:p w:rsidR="00830EC1" w:rsidRPr="0082657D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2657D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декларациями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поданными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ИФНС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последних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предпринимателями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(ИП)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лицами (ФЛ) приведена в таблице 5.</w:t>
      </w:r>
    </w:p>
    <w:p w:rsidR="00830EC1" w:rsidRDefault="00830EC1" w:rsidP="00830EC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454.95pt;margin-top:245.9pt;width:50.4pt;height:7.2pt;z-index:251661312" o:allowincell="f" filled="f" stroked="f">
            <v:textbox style="mso-next-textbox:#_x0000_s1027">
              <w:txbxContent>
                <w:p w:rsidR="00830EC1" w:rsidRDefault="00830EC1" w:rsidP="00830EC1"/>
              </w:txbxContent>
            </v:textbox>
          </v:shape>
        </w:pict>
      </w:r>
    </w:p>
    <w:p w:rsidR="00830EC1" w:rsidRPr="0082657D" w:rsidRDefault="00830EC1" w:rsidP="00830EC1">
      <w:pPr>
        <w:widowControl w:val="0"/>
        <w:spacing w:line="360" w:lineRule="auto"/>
        <w:rPr>
          <w:sz w:val="28"/>
          <w:szCs w:val="28"/>
        </w:rPr>
      </w:pPr>
      <w:r w:rsidRPr="0082657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7 - </w:t>
      </w:r>
      <w:r w:rsidRPr="0082657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декларационных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компаний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82657D">
        <w:rPr>
          <w:sz w:val="28"/>
          <w:szCs w:val="28"/>
        </w:rPr>
        <w:t>-20</w:t>
      </w:r>
      <w:r>
        <w:rPr>
          <w:sz w:val="28"/>
          <w:szCs w:val="28"/>
        </w:rPr>
        <w:t xml:space="preserve">13 </w:t>
      </w:r>
      <w:r w:rsidRPr="0082657D">
        <w:rPr>
          <w:sz w:val="28"/>
          <w:szCs w:val="28"/>
        </w:rPr>
        <w:t>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1299"/>
        <w:gridCol w:w="1484"/>
        <w:gridCol w:w="1395"/>
      </w:tblGrid>
      <w:tr w:rsidR="00830EC1" w:rsidRPr="00F13F9E" w:rsidTr="00295756">
        <w:trPr>
          <w:trHeight w:val="7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показателя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2011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2013</w:t>
            </w:r>
          </w:p>
        </w:tc>
      </w:tr>
      <w:tr w:rsidR="00830EC1" w:rsidRPr="00F13F9E" w:rsidTr="00295756">
        <w:trPr>
          <w:trHeight w:val="45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Количество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индивидуальных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предпринимателей,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обязанных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представить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налоговые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декларации,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11451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11820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12141</w:t>
            </w:r>
          </w:p>
        </w:tc>
      </w:tr>
      <w:tr w:rsidR="00830EC1" w:rsidRPr="00F13F9E" w:rsidTr="00295756">
        <w:trPr>
          <w:trHeight w:val="22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Подано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деклараций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индивидуальными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lastRenderedPageBreak/>
              <w:t>предпринимателями,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lastRenderedPageBreak/>
              <w:t>11085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10046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7820</w:t>
            </w:r>
          </w:p>
        </w:tc>
      </w:tr>
      <w:tr w:rsidR="00830EC1" w:rsidRPr="00F13F9E" w:rsidTr="00295756">
        <w:trPr>
          <w:trHeight w:val="22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lastRenderedPageBreak/>
              <w:t>%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декларирования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доходов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96,8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85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64,4</w:t>
            </w:r>
          </w:p>
        </w:tc>
      </w:tr>
      <w:tr w:rsidR="00830EC1" w:rsidRPr="00F13F9E" w:rsidTr="00295756">
        <w:trPr>
          <w:trHeight w:val="450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Подано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деклараций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физическими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лицами,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всего,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том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2721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3533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5204</w:t>
            </w:r>
          </w:p>
        </w:tc>
      </w:tr>
      <w:tr w:rsidR="00830EC1" w:rsidRPr="00F13F9E" w:rsidTr="00295756">
        <w:trPr>
          <w:trHeight w:val="22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  <w:ind w:firstLine="180"/>
            </w:pPr>
            <w:r w:rsidRPr="00F13F9E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социальным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налоговым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вычетам,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1288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1988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2526</w:t>
            </w:r>
          </w:p>
        </w:tc>
      </w:tr>
      <w:tr w:rsidR="00830EC1" w:rsidRPr="00F13F9E" w:rsidTr="00295756">
        <w:trPr>
          <w:trHeight w:val="22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  <w:ind w:firstLine="180"/>
            </w:pPr>
            <w:r w:rsidRPr="00F13F9E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имущественным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налоговым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вычетам,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1272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1498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2340</w:t>
            </w:r>
          </w:p>
        </w:tc>
      </w:tr>
    </w:tbl>
    <w:p w:rsidR="00830EC1" w:rsidRPr="0082657D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2657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видно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аблицы 7, </w:t>
      </w:r>
      <w:r w:rsidRPr="0082657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предпринимателями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тенденцию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18,2%,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27,6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обращающихся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вычетов.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Наглядно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видна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657D">
        <w:rPr>
          <w:sz w:val="28"/>
          <w:szCs w:val="28"/>
        </w:rPr>
        <w:t>рисунке</w:t>
      </w:r>
      <w:r>
        <w:rPr>
          <w:sz w:val="28"/>
          <w:szCs w:val="28"/>
        </w:rPr>
        <w:t xml:space="preserve"> 9</w:t>
      </w:r>
      <w:r w:rsidRPr="0086330B">
        <w:rPr>
          <w:sz w:val="28"/>
          <w:szCs w:val="28"/>
        </w:rPr>
        <w:t>.</w:t>
      </w: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r w:rsidRPr="0086330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произошла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реорганизация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перестроена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камеральной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повлекло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декларирования.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автоматизация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проблему.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чрезвычайно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ресурсоемких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трудоемких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- </w:t>
      </w:r>
      <w:r w:rsidRPr="0086330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камеральная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получаемых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работодателей.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инспекций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хватить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взыскание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рассчитанного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сведениям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декларациям,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каким-то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причинам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внесли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сами.</w:t>
      </w:r>
      <w:r>
        <w:rPr>
          <w:sz w:val="28"/>
          <w:szCs w:val="28"/>
        </w:rPr>
        <w:t xml:space="preserve"> </w:t>
      </w: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дважды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подстраховаться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реальным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потерям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бюджета.</w:t>
      </w: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налоговое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пытается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совместить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декларированию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упор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самостоятельную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добровольную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подачу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уплату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lastRenderedPageBreak/>
        <w:t>доходы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вспомогательную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роль.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упор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рассчитывают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плательщикам.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играют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вспомогательную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роль.</w:t>
      </w:r>
    </w:p>
    <w:p w:rsidR="00830EC1" w:rsidRPr="0095326D" w:rsidRDefault="00830EC1" w:rsidP="00830EC1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4457700" cy="3248025"/>
            <wp:effectExtent l="0" t="0" r="0" b="0"/>
            <wp:docPr id="19" name="Объект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0EC1" w:rsidRPr="0086330B" w:rsidRDefault="00830EC1" w:rsidP="00830EC1">
      <w:pPr>
        <w:widowControl w:val="0"/>
        <w:spacing w:line="360" w:lineRule="auto"/>
        <w:jc w:val="center"/>
        <w:rPr>
          <w:sz w:val="28"/>
          <w:szCs w:val="28"/>
        </w:rPr>
      </w:pPr>
      <w:r w:rsidRPr="0086330B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14 </w:t>
      </w:r>
      <w:r w:rsidRPr="008633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ИФНС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86330B">
        <w:rPr>
          <w:sz w:val="28"/>
          <w:szCs w:val="28"/>
        </w:rPr>
        <w:t>-20</w:t>
      </w:r>
      <w:r>
        <w:rPr>
          <w:sz w:val="28"/>
          <w:szCs w:val="28"/>
        </w:rPr>
        <w:t xml:space="preserve">13 </w:t>
      </w:r>
      <w:r w:rsidRPr="0086330B">
        <w:rPr>
          <w:sz w:val="28"/>
          <w:szCs w:val="28"/>
        </w:rPr>
        <w:t>гг.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подавать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плательщиков,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характеру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близки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предпринимателям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(нотариусов,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охранников,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сдатчиков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ж</w:t>
      </w:r>
      <w:r>
        <w:rPr>
          <w:sz w:val="28"/>
          <w:szCs w:val="28"/>
        </w:rPr>
        <w:t>илья, фермеров). Остальные граж</w:t>
      </w:r>
      <w:r w:rsidRPr="0086330B">
        <w:rPr>
          <w:sz w:val="28"/>
          <w:szCs w:val="28"/>
        </w:rPr>
        <w:t>дане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подавать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декларации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требованию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органов.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рассчитываться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самими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инспекциями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доходах.</w:t>
      </w: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доначисления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выездную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целенаправленному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отбору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превышают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прочим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проверкам.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выявляются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10.</w:t>
      </w:r>
    </w:p>
    <w:p w:rsidR="00830EC1" w:rsidRPr="0086330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86330B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Октябрьскому району г. Барнаула </w:t>
      </w:r>
      <w:r w:rsidRPr="0086330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8633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86330B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исчислению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своевременности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сделаны</w:t>
      </w:r>
      <w:r>
        <w:rPr>
          <w:sz w:val="28"/>
          <w:szCs w:val="28"/>
        </w:rPr>
        <w:t xml:space="preserve"> </w:t>
      </w:r>
      <w:r w:rsidRPr="0086330B">
        <w:rPr>
          <w:sz w:val="28"/>
          <w:szCs w:val="28"/>
        </w:rPr>
        <w:t>донач</w:t>
      </w:r>
      <w:r>
        <w:rPr>
          <w:sz w:val="28"/>
          <w:szCs w:val="28"/>
        </w:rPr>
        <w:t>исления по итогам этих проверок (таблица 8</w:t>
      </w:r>
      <w:r w:rsidRPr="008633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0EC1" w:rsidRDefault="00830EC1" w:rsidP="00830EC1">
      <w:pPr>
        <w:widowControl w:val="0"/>
        <w:spacing w:line="360" w:lineRule="auto"/>
        <w:rPr>
          <w:sz w:val="28"/>
          <w:szCs w:val="28"/>
        </w:rPr>
      </w:pPr>
    </w:p>
    <w:p w:rsidR="00830EC1" w:rsidRPr="00D34E9A" w:rsidRDefault="00830EC1" w:rsidP="00830EC1">
      <w:pPr>
        <w:widowControl w:val="0"/>
        <w:spacing w:line="360" w:lineRule="auto"/>
        <w:rPr>
          <w:sz w:val="28"/>
          <w:szCs w:val="28"/>
        </w:rPr>
      </w:pPr>
      <w:r w:rsidRPr="00D34E9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8 - </w:t>
      </w:r>
      <w:r w:rsidRPr="00D34E9A">
        <w:rPr>
          <w:sz w:val="28"/>
          <w:szCs w:val="28"/>
        </w:rPr>
        <w:t>Доначисления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D34E9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D34E9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D34E9A">
        <w:rPr>
          <w:sz w:val="28"/>
          <w:szCs w:val="28"/>
        </w:rPr>
        <w:t>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8"/>
        <w:gridCol w:w="1523"/>
        <w:gridCol w:w="1713"/>
      </w:tblGrid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Показатели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2012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2013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Проведено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проверок,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166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169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Выявлено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нарушений,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шт.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65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55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Удельный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вес,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%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39,2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32,94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Доначислено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результатам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проверок,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тыс.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руб.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1213,2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73268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том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числе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финансовые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санкции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пени,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тыс.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руб.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4767,0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25277,0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Взыскано,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тыс.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руб.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7172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48306,0</w:t>
            </w:r>
          </w:p>
        </w:tc>
      </w:tr>
      <w:tr w:rsidR="00830EC1" w:rsidRPr="00F13F9E" w:rsidTr="00295756">
        <w:tc>
          <w:tcPr>
            <w:tcW w:w="3358" w:type="pct"/>
          </w:tcPr>
          <w:p w:rsidR="00830EC1" w:rsidRPr="00F13F9E" w:rsidRDefault="00830EC1" w:rsidP="00295756">
            <w:pPr>
              <w:widowControl w:val="0"/>
            </w:pPr>
            <w:r w:rsidRPr="00F13F9E">
              <w:rPr>
                <w:sz w:val="22"/>
              </w:rPr>
              <w:t>Удельный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вес,</w:t>
            </w:r>
            <w:r>
              <w:rPr>
                <w:sz w:val="22"/>
              </w:rPr>
              <w:t xml:space="preserve"> </w:t>
            </w:r>
            <w:r w:rsidRPr="00F13F9E">
              <w:rPr>
                <w:sz w:val="22"/>
              </w:rPr>
              <w:t>%</w:t>
            </w:r>
          </w:p>
        </w:tc>
        <w:tc>
          <w:tcPr>
            <w:tcW w:w="773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59,1</w:t>
            </w:r>
          </w:p>
        </w:tc>
        <w:tc>
          <w:tcPr>
            <w:tcW w:w="869" w:type="pct"/>
          </w:tcPr>
          <w:p w:rsidR="00830EC1" w:rsidRPr="00F13F9E" w:rsidRDefault="00830EC1" w:rsidP="00295756">
            <w:pPr>
              <w:widowControl w:val="0"/>
              <w:jc w:val="center"/>
            </w:pPr>
            <w:r w:rsidRPr="00F13F9E">
              <w:rPr>
                <w:sz w:val="22"/>
              </w:rPr>
              <w:t>65,9</w:t>
            </w:r>
          </w:p>
        </w:tc>
      </w:tr>
    </w:tbl>
    <w:p w:rsidR="00830EC1" w:rsidRPr="00D47AF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Pr="00506E52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данным таблицы 8, видно, что количество проверок в 2013 году выросло на 3 ед., а количество нарушений снизилось на 10, это говорит о положительной тенденции, если посмотреть на взыскания, то можно увидеть, что сумма взысканных денежных средств в 2013 году увеличилась на </w:t>
      </w:r>
      <w:r w:rsidRPr="00506E52">
        <w:rPr>
          <w:sz w:val="28"/>
          <w:szCs w:val="28"/>
        </w:rPr>
        <w:t>41134</w:t>
      </w:r>
      <w:r>
        <w:rPr>
          <w:sz w:val="28"/>
          <w:szCs w:val="28"/>
        </w:rPr>
        <w:t xml:space="preserve"> тыс. руб.</w:t>
      </w:r>
    </w:p>
    <w:p w:rsidR="00830EC1" w:rsidRPr="00D47AF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D47AFB">
        <w:rPr>
          <w:sz w:val="28"/>
          <w:szCs w:val="28"/>
        </w:rPr>
        <w:t>Косвенная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налогоплательщика,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«</w:t>
      </w:r>
      <w:r w:rsidRPr="00D47AFB">
        <w:rPr>
          <w:sz w:val="28"/>
          <w:szCs w:val="28"/>
        </w:rPr>
        <w:t>надежного</w:t>
      </w:r>
      <w:r>
        <w:rPr>
          <w:sz w:val="28"/>
          <w:szCs w:val="28"/>
        </w:rPr>
        <w:t>»</w:t>
      </w:r>
      <w:r w:rsidRPr="00D47A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доверять.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непроведение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критериям.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косвенной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ставящей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сомнение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происхождение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свидетельствующей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законодательства.</w:t>
      </w:r>
      <w:r>
        <w:rPr>
          <w:sz w:val="28"/>
          <w:szCs w:val="28"/>
        </w:rPr>
        <w:t xml:space="preserve"> </w:t>
      </w:r>
    </w:p>
    <w:p w:rsidR="00830EC1" w:rsidRPr="00D47AFB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D47AFB">
        <w:rPr>
          <w:sz w:val="28"/>
          <w:szCs w:val="28"/>
        </w:rPr>
        <w:t>Осуществляя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контрольную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функцию,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правоохранительными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полиции: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растет.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Совместные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целенаправленные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результативные: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равен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lastRenderedPageBreak/>
        <w:t>показателе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доначисления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совместную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</w:t>
      </w:r>
      <w:r w:rsidRPr="00D47AFB">
        <w:rPr>
          <w:sz w:val="28"/>
          <w:szCs w:val="28"/>
        </w:rPr>
        <w:t>результативность.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27F70">
        <w:rPr>
          <w:sz w:val="28"/>
          <w:szCs w:val="28"/>
        </w:rPr>
        <w:t>Проанализировав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исполняют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связанно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повышением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сфере,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детально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организованным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взаимодействием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власти.</w:t>
      </w:r>
      <w:r>
        <w:rPr>
          <w:sz w:val="28"/>
          <w:szCs w:val="28"/>
        </w:rPr>
        <w:t xml:space="preserve"> 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27F70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итоги,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служат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контроля.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отражена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актах.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камеральной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разные.</w:t>
      </w:r>
    </w:p>
    <w:p w:rsidR="00830EC1" w:rsidRDefault="00830EC1" w:rsidP="00830EC1">
      <w:pPr>
        <w:widowControl w:val="0"/>
        <w:spacing w:line="360" w:lineRule="auto"/>
        <w:ind w:firstLine="709"/>
        <w:rPr>
          <w:sz w:val="28"/>
          <w:szCs w:val="28"/>
        </w:rPr>
      </w:pPr>
      <w:r w:rsidRPr="00E27F70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E27F70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Октябрьскому району г. Барнаула </w:t>
      </w:r>
      <w:r w:rsidRPr="00E27F70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инспекторы,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инспекциях,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камеральных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находят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применяемее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налогоплательщиками.</w:t>
      </w:r>
      <w:r>
        <w:rPr>
          <w:sz w:val="28"/>
          <w:szCs w:val="28"/>
        </w:rPr>
        <w:t xml:space="preserve"> Барнаул</w:t>
      </w:r>
      <w:r w:rsidRPr="00E27F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дополняет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консолидированный</w:t>
      </w:r>
      <w:r>
        <w:rPr>
          <w:sz w:val="28"/>
          <w:szCs w:val="28"/>
        </w:rPr>
        <w:t xml:space="preserve"> </w:t>
      </w:r>
      <w:r w:rsidRPr="00E27F7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края.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r>
        <w:br w:type="page"/>
      </w:r>
    </w:p>
    <w:p w:rsidR="00C71128" w:rsidRPr="00C71128" w:rsidRDefault="00C71128" w:rsidP="00830EC1">
      <w:pPr>
        <w:pStyle w:val="2"/>
      </w:pPr>
      <w:bookmarkStart w:id="7" w:name="_Toc405837597"/>
      <w:r w:rsidRPr="00C71128">
        <w:lastRenderedPageBreak/>
        <w:t>4</w:t>
      </w:r>
      <w:r>
        <w:t xml:space="preserve"> </w:t>
      </w:r>
      <w:r w:rsidRPr="00C71128">
        <w:t>Организация</w:t>
      </w:r>
      <w:r>
        <w:t xml:space="preserve"> </w:t>
      </w:r>
      <w:r w:rsidRPr="00C71128">
        <w:t>и</w:t>
      </w:r>
      <w:r>
        <w:t xml:space="preserve"> </w:t>
      </w:r>
      <w:r w:rsidRPr="00C71128">
        <w:t>анализ</w:t>
      </w:r>
      <w:r>
        <w:t xml:space="preserve"> </w:t>
      </w:r>
      <w:r w:rsidRPr="00C71128">
        <w:t>информации</w:t>
      </w:r>
      <w:r>
        <w:t xml:space="preserve"> </w:t>
      </w:r>
      <w:r w:rsidRPr="00C71128">
        <w:t>о</w:t>
      </w:r>
      <w:r>
        <w:t xml:space="preserve"> </w:t>
      </w:r>
      <w:r w:rsidRPr="00C71128">
        <w:t>состоянии</w:t>
      </w:r>
      <w:r>
        <w:t xml:space="preserve"> </w:t>
      </w:r>
      <w:r w:rsidRPr="00C71128">
        <w:t>доходной</w:t>
      </w:r>
      <w:r>
        <w:t xml:space="preserve"> </w:t>
      </w:r>
      <w:r w:rsidRPr="00C71128">
        <w:t>части</w:t>
      </w:r>
      <w:r>
        <w:t xml:space="preserve"> </w:t>
      </w:r>
      <w:r w:rsidRPr="00C71128">
        <w:t>бюджетов</w:t>
      </w:r>
      <w:r>
        <w:t xml:space="preserve"> </w:t>
      </w:r>
      <w:r w:rsidRPr="00C71128">
        <w:t>всех</w:t>
      </w:r>
      <w:r>
        <w:t xml:space="preserve"> </w:t>
      </w:r>
      <w:r w:rsidRPr="00C71128">
        <w:t>уровней</w:t>
      </w:r>
      <w:r>
        <w:t xml:space="preserve"> </w:t>
      </w:r>
      <w:r w:rsidRPr="00C71128">
        <w:t>бюджетной</w:t>
      </w:r>
      <w:r>
        <w:t xml:space="preserve"> </w:t>
      </w:r>
      <w:r w:rsidRPr="00C71128">
        <w:t>системы</w:t>
      </w:r>
      <w:bookmarkEnd w:id="7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тенденций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налогооблагаемой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важнейшей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Неотъемлемой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взаимоотношения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хозяйствующих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собой,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населением.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увеличению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обоснованному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возложен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полнотой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своевременностью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активную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налогооблагаемой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выработки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целенаправленному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допущенной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недоимки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налогооблагаемая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элементы,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промышленности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отраслей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валовая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прибыль,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количественного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определяющие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налогооблагаемую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уделяется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налогооблагаемой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прибыль,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НДС,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подоходного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85%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bookmarkStart w:id="8" w:name="_Toc309812532"/>
      <w:r>
        <w:br w:type="page"/>
      </w:r>
    </w:p>
    <w:p w:rsidR="00C71128" w:rsidRPr="00C71128" w:rsidRDefault="00C71128" w:rsidP="00830EC1">
      <w:pPr>
        <w:pStyle w:val="2"/>
      </w:pPr>
      <w:bookmarkStart w:id="9" w:name="_Toc405837598"/>
      <w:r w:rsidRPr="00C71128">
        <w:lastRenderedPageBreak/>
        <w:t>5</w:t>
      </w:r>
      <w:r>
        <w:t xml:space="preserve"> </w:t>
      </w:r>
      <w:r w:rsidRPr="00C71128">
        <w:t>Краткосрочное</w:t>
      </w:r>
      <w:r>
        <w:t xml:space="preserve"> </w:t>
      </w:r>
      <w:r w:rsidRPr="00C71128">
        <w:t>прогнозирование</w:t>
      </w:r>
      <w:r>
        <w:t xml:space="preserve"> </w:t>
      </w:r>
      <w:r w:rsidRPr="00C71128">
        <w:t>налоговых</w:t>
      </w:r>
      <w:r>
        <w:t xml:space="preserve"> </w:t>
      </w:r>
      <w:r w:rsidRPr="00C71128">
        <w:t>поступлений</w:t>
      </w:r>
      <w:r>
        <w:t xml:space="preserve"> </w:t>
      </w:r>
      <w:r w:rsidRPr="00C71128">
        <w:t>на</w:t>
      </w:r>
      <w:r>
        <w:t xml:space="preserve"> </w:t>
      </w:r>
      <w:r w:rsidRPr="00C71128">
        <w:t>уровне</w:t>
      </w:r>
      <w:r>
        <w:t xml:space="preserve"> </w:t>
      </w:r>
      <w:r w:rsidRPr="00C71128">
        <w:t>отделов</w:t>
      </w:r>
      <w:bookmarkEnd w:id="8"/>
      <w:bookmarkEnd w:id="9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предвидения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объективных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субъективных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влияющих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исследованием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перспективного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характера.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реальные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Фундаментом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комплексные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оценивают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определяют: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отклонения,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возникнуть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прогнозируемом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периоде,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господствующие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тенденции,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тенденций.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базируется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на: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общеэкономических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отраслей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региона,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исследованиях,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публикуемых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источниках.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вероятностный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предварительный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временными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горизонтами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природой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прогнозируемых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устойчивый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тенденции,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шире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горизонт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прогнозирования.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фактические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динамические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ряды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предыдущие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периоды.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прошлые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корректируются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неустойчивого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практике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реализованы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оперативный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краткосрочный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прогнозы.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комплексе.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взаимоувязаны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собой,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вытекают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другого: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подоходного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исходной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НДС,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прибыль,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очередь,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находит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НДС.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bookmarkStart w:id="10" w:name="_Toc309812533"/>
      <w:r>
        <w:br w:type="page"/>
      </w:r>
    </w:p>
    <w:p w:rsidR="00C71128" w:rsidRPr="00C71128" w:rsidRDefault="00C71128" w:rsidP="00830EC1">
      <w:pPr>
        <w:pStyle w:val="2"/>
      </w:pPr>
      <w:bookmarkStart w:id="11" w:name="_Toc405837599"/>
      <w:r w:rsidRPr="00C71128">
        <w:lastRenderedPageBreak/>
        <w:t>6</w:t>
      </w:r>
      <w:r>
        <w:t xml:space="preserve"> </w:t>
      </w:r>
      <w:r w:rsidRPr="00C71128">
        <w:t>Работа</w:t>
      </w:r>
      <w:r>
        <w:t xml:space="preserve"> </w:t>
      </w:r>
      <w:r w:rsidRPr="00C71128">
        <w:t>с</w:t>
      </w:r>
      <w:r>
        <w:t xml:space="preserve"> </w:t>
      </w:r>
      <w:r w:rsidRPr="00C71128">
        <w:t>налогоплательщиками</w:t>
      </w:r>
      <w:r>
        <w:t xml:space="preserve"> </w:t>
      </w:r>
      <w:r w:rsidRPr="00C71128">
        <w:t>по</w:t>
      </w:r>
      <w:r>
        <w:t xml:space="preserve"> </w:t>
      </w:r>
      <w:r w:rsidRPr="00C71128">
        <w:t>сдаче</w:t>
      </w:r>
      <w:r>
        <w:t xml:space="preserve"> </w:t>
      </w:r>
      <w:r w:rsidRPr="00C71128">
        <w:t>налоговой</w:t>
      </w:r>
      <w:r>
        <w:t xml:space="preserve"> </w:t>
      </w:r>
      <w:r w:rsidRPr="00C71128">
        <w:t>отчетности,</w:t>
      </w:r>
      <w:r>
        <w:t xml:space="preserve"> </w:t>
      </w:r>
      <w:r w:rsidRPr="00C71128">
        <w:t>уплате</w:t>
      </w:r>
      <w:r>
        <w:t xml:space="preserve"> </w:t>
      </w:r>
      <w:r w:rsidRPr="00C71128">
        <w:t>налогов</w:t>
      </w:r>
      <w:r>
        <w:t xml:space="preserve"> </w:t>
      </w:r>
      <w:r w:rsidRPr="00C71128">
        <w:t>и</w:t>
      </w:r>
      <w:r>
        <w:t xml:space="preserve"> </w:t>
      </w:r>
      <w:r w:rsidRPr="00C71128">
        <w:t>сборов</w:t>
      </w:r>
      <w:bookmarkEnd w:id="10"/>
      <w:bookmarkEnd w:id="11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И</w:t>
      </w:r>
      <w:r w:rsidRPr="00844976">
        <w:rPr>
          <w:sz w:val="28"/>
          <w:szCs w:val="28"/>
          <w:lang w:eastAsia="ru-RU"/>
        </w:rPr>
        <w:t xml:space="preserve">ФНС России по </w:t>
      </w:r>
      <w:r>
        <w:rPr>
          <w:sz w:val="28"/>
          <w:szCs w:val="28"/>
          <w:lang w:eastAsia="ru-RU"/>
        </w:rPr>
        <w:t>Октябрьскому району г. Барнаула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дополнительному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привлечению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физических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лиц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к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декларированию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период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01.01.201</w:t>
      </w:r>
      <w:r>
        <w:rPr>
          <w:sz w:val="28"/>
          <w:szCs w:val="28"/>
        </w:rPr>
        <w:t>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г.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>
        <w:rPr>
          <w:sz w:val="28"/>
          <w:szCs w:val="28"/>
        </w:rPr>
        <w:t>01.01.2015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г.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проведена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следующая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работа: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рассчитанные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апреля)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велась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широкомасштабная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информированию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НДФЛ.</w:t>
      </w:r>
    </w:p>
    <w:p w:rsidR="00C71128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28.02.2013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г.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проведен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семинар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налогоплательщиками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порядке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заполнения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налоговой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декларации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форме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3-НДФЛ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и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освещен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вопрос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тему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«Новое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налоговом</w:t>
      </w:r>
      <w:r w:rsidR="00C71128"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налогу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доходы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физических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лиц»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здании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налогового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органа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(г</w:t>
      </w:r>
      <w:r>
        <w:rPr>
          <w:sz w:val="28"/>
          <w:szCs w:val="28"/>
        </w:rPr>
        <w:t>.</w:t>
      </w:r>
      <w:r w:rsidR="00C711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Барнаула),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актовом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зале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C71128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06.04.2013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г.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проведен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семинар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вопросам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декларирования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такой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категорией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граждан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как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частнопрактикующее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нотариусы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и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адвокаты,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учредившие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адвокатский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кабинет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телефонная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справочная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уведомлениях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сайте).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оперативно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квалифицированный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Судя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значительному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звонков,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востребованной.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единообразия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размещаемых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территориально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обособленных,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Чемал,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Шебалино)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наглядности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удобства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нужной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материалы</w:t>
      </w:r>
      <w:r w:rsidR="00830E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размещенные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сгруппированы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темам.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«Вниманию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декларируйте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доходы!!!»,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30.1</w:t>
      </w:r>
      <w:r w:rsidR="00830EC1">
        <w:rPr>
          <w:sz w:val="28"/>
          <w:szCs w:val="28"/>
        </w:rPr>
        <w:t>0</w:t>
      </w:r>
      <w:r w:rsidRPr="00C71128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28.03.2013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30.04.2013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радио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«Сибирь»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транслировался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ролик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видеоролика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месяце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выходные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дежурства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желающих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выходные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терминал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информационно-правовым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</w:t>
      </w:r>
      <w:r w:rsidR="00830EC1">
        <w:rPr>
          <w:sz w:val="28"/>
          <w:szCs w:val="28"/>
        </w:rPr>
        <w:t>Консультант плюс</w:t>
      </w:r>
      <w:r w:rsidRPr="00C71128">
        <w:rPr>
          <w:sz w:val="28"/>
          <w:szCs w:val="28"/>
        </w:rPr>
        <w:t>».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подготовительные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ФРС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месяцев).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08.02.2013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просьбой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копиями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04.03.2013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запрашиваемой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информации.</w:t>
      </w:r>
    </w:p>
    <w:p w:rsidR="00830EC1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-с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арендаторами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субаренду).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07.02.2013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просьбой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фактах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сдачи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арендаторами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субаренду.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потенциальным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декларантам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январе-феврале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</w:t>
      </w:r>
      <w:r w:rsidR="00830EC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декларировании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5641.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сокращается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потенциальных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отчуждения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являлся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продажей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(дарение,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утилизация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т.п.).</w:t>
      </w:r>
      <w:r>
        <w:rPr>
          <w:sz w:val="28"/>
          <w:szCs w:val="28"/>
        </w:rPr>
        <w:t xml:space="preserve">  </w:t>
      </w:r>
    </w:p>
    <w:p w:rsidR="00C71128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09.03.2013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г.,</w:t>
      </w:r>
      <w:r w:rsidR="00C71128">
        <w:rPr>
          <w:sz w:val="28"/>
          <w:szCs w:val="28"/>
        </w:rPr>
        <w:t xml:space="preserve"> </w:t>
      </w:r>
      <w:r>
        <w:rPr>
          <w:sz w:val="28"/>
          <w:szCs w:val="28"/>
        </w:rPr>
        <w:t>28.03.2013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и</w:t>
      </w:r>
      <w:r w:rsidR="00C71128">
        <w:rPr>
          <w:sz w:val="28"/>
          <w:szCs w:val="28"/>
        </w:rPr>
        <w:t xml:space="preserve"> </w:t>
      </w:r>
      <w:r>
        <w:rPr>
          <w:sz w:val="28"/>
          <w:szCs w:val="28"/>
        </w:rPr>
        <w:t>21.04.2013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адрес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298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потенциальных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декларантов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направлены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уведомления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по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сведениям,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представленным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из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других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налоговых</w:t>
      </w:r>
      <w:r w:rsidR="00C71128">
        <w:rPr>
          <w:sz w:val="28"/>
          <w:szCs w:val="28"/>
        </w:rPr>
        <w:t xml:space="preserve"> </w:t>
      </w:r>
      <w:r w:rsidR="00C71128" w:rsidRPr="00C71128">
        <w:rPr>
          <w:sz w:val="28"/>
          <w:szCs w:val="28"/>
        </w:rPr>
        <w:t>органов.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продолжила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непосредственному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проживающими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отдаленных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(новшество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Обычной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декларировать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агентов.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2-НДФЛ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просьбой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оказани</w:t>
      </w:r>
      <w:r w:rsidR="00830E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положительную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тенденцию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работодатели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обращаются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заполнении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деклараций.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="00830EC1"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декларационной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сформировано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агентов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715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bookmarkStart w:id="12" w:name="_Toc309812534"/>
      <w:r>
        <w:br w:type="page"/>
      </w:r>
    </w:p>
    <w:p w:rsidR="00C71128" w:rsidRPr="00C71128" w:rsidRDefault="00C71128" w:rsidP="00830EC1">
      <w:pPr>
        <w:pStyle w:val="2"/>
      </w:pPr>
      <w:bookmarkStart w:id="13" w:name="_Toc405837600"/>
      <w:r w:rsidRPr="00C71128">
        <w:lastRenderedPageBreak/>
        <w:t>7</w:t>
      </w:r>
      <w:r>
        <w:t xml:space="preserve"> </w:t>
      </w:r>
      <w:r w:rsidRPr="00C71128">
        <w:t>Информирование</w:t>
      </w:r>
      <w:r>
        <w:t xml:space="preserve"> </w:t>
      </w:r>
      <w:r w:rsidRPr="00C71128">
        <w:t>налогоплательщиков</w:t>
      </w:r>
      <w:r>
        <w:t xml:space="preserve"> </w:t>
      </w:r>
      <w:r w:rsidRPr="00C71128">
        <w:t>о</w:t>
      </w:r>
      <w:r>
        <w:t xml:space="preserve"> </w:t>
      </w:r>
      <w:r w:rsidRPr="00C71128">
        <w:t>состоянии</w:t>
      </w:r>
      <w:r>
        <w:t xml:space="preserve"> </w:t>
      </w:r>
      <w:r w:rsidRPr="00C71128">
        <w:t>его</w:t>
      </w:r>
      <w:r>
        <w:t xml:space="preserve"> </w:t>
      </w:r>
      <w:r w:rsidRPr="00C71128">
        <w:t>расчетов</w:t>
      </w:r>
      <w:r>
        <w:t xml:space="preserve"> </w:t>
      </w:r>
      <w:r w:rsidRPr="00C71128">
        <w:t>с</w:t>
      </w:r>
      <w:r>
        <w:t xml:space="preserve"> </w:t>
      </w:r>
      <w:r w:rsidRPr="00C71128">
        <w:t>бюджетами</w:t>
      </w:r>
      <w:r>
        <w:t xml:space="preserve"> </w:t>
      </w:r>
      <w:r w:rsidRPr="00C71128">
        <w:t>всех</w:t>
      </w:r>
      <w:r>
        <w:t xml:space="preserve"> </w:t>
      </w:r>
      <w:r w:rsidRPr="00C71128">
        <w:t>уровней</w:t>
      </w:r>
      <w:r>
        <w:t xml:space="preserve"> </w:t>
      </w:r>
      <w:r w:rsidRPr="00C71128">
        <w:t>и</w:t>
      </w:r>
      <w:r>
        <w:t xml:space="preserve"> </w:t>
      </w:r>
      <w:r w:rsidRPr="00C71128">
        <w:t>внебюджетными</w:t>
      </w:r>
      <w:r>
        <w:t xml:space="preserve"> </w:t>
      </w:r>
      <w:r w:rsidRPr="00C71128">
        <w:t>фондами</w:t>
      </w:r>
      <w:bookmarkEnd w:id="12"/>
      <w:bookmarkEnd w:id="13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взносам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передаваться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(через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(лично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подписано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представителем.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просьбе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проставляет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отметку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взносам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распределяются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взносам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Подготовленная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распечатывается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39-1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39-1ф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взносам».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Подготовленная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заместителю).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Подписанная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представителю)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вручается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представителю)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отправляется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реестру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обеспечения).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реестру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правоохранительных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выдаются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работником,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безопасности.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r>
        <w:br w:type="page"/>
      </w:r>
    </w:p>
    <w:p w:rsidR="00C71128" w:rsidRPr="00C71128" w:rsidRDefault="00C71128" w:rsidP="00830EC1">
      <w:pPr>
        <w:pStyle w:val="2"/>
      </w:pPr>
      <w:bookmarkStart w:id="14" w:name="_Toc405837601"/>
      <w:r w:rsidRPr="00C71128">
        <w:lastRenderedPageBreak/>
        <w:t>8</w:t>
      </w:r>
      <w:r>
        <w:t xml:space="preserve"> </w:t>
      </w:r>
      <w:r w:rsidRPr="00C71128">
        <w:t>Сверка</w:t>
      </w:r>
      <w:r>
        <w:t xml:space="preserve"> </w:t>
      </w:r>
      <w:r w:rsidRPr="00C71128">
        <w:t>данных</w:t>
      </w:r>
      <w:r>
        <w:t xml:space="preserve"> </w:t>
      </w:r>
      <w:r w:rsidRPr="00C71128">
        <w:t>по</w:t>
      </w:r>
      <w:r>
        <w:t xml:space="preserve"> </w:t>
      </w:r>
      <w:r w:rsidRPr="00C71128">
        <w:t>лицевым</w:t>
      </w:r>
      <w:r>
        <w:t xml:space="preserve"> </w:t>
      </w:r>
      <w:r w:rsidRPr="00C71128">
        <w:t>счетам</w:t>
      </w:r>
      <w:r>
        <w:t xml:space="preserve"> </w:t>
      </w:r>
      <w:r w:rsidRPr="00C71128">
        <w:t>налогоплательщика</w:t>
      </w:r>
      <w:bookmarkEnd w:id="14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Сверка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случаях: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снятия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переходе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другую;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снятия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(реорганизации)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сборах.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(полная)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взносам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39-1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39-1ф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заполнению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приложений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1,2,4,6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04.04.2012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САЭ-3-01/138.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доставку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увеличен.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ставятся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должностного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подготовленного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вручается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вручается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разногласий.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фиксирования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(полная).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ошибки,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допущенной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служебная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записка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допустивший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ошибку.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служебная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записка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(отрывная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часть)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записок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3-х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записки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текущую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экземплярах.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представителю).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вручается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лично,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ставится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представителя).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23-а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(краткая)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оба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(общего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обеспечения)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отправки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sz w:val="28"/>
          <w:szCs w:val="28"/>
        </w:rPr>
      </w:pPr>
      <w:bookmarkStart w:id="15" w:name="_Toc309721091"/>
      <w:bookmarkStart w:id="16" w:name="_Toc309812535"/>
      <w:r>
        <w:rPr>
          <w:sz w:val="28"/>
          <w:szCs w:val="28"/>
        </w:rPr>
        <w:br w:type="page"/>
      </w:r>
    </w:p>
    <w:p w:rsidR="00C71128" w:rsidRPr="00C71128" w:rsidRDefault="00C71128" w:rsidP="00830EC1">
      <w:pPr>
        <w:pStyle w:val="2"/>
      </w:pPr>
      <w:bookmarkStart w:id="17" w:name="_Toc405837602"/>
      <w:r w:rsidRPr="00C71128">
        <w:lastRenderedPageBreak/>
        <w:t>9</w:t>
      </w:r>
      <w:r>
        <w:t xml:space="preserve"> </w:t>
      </w:r>
      <w:r w:rsidRPr="00C71128">
        <w:t>Подготовка</w:t>
      </w:r>
      <w:r>
        <w:t xml:space="preserve"> </w:t>
      </w:r>
      <w:r w:rsidRPr="00C71128">
        <w:t>ответов</w:t>
      </w:r>
      <w:r>
        <w:t xml:space="preserve"> </w:t>
      </w:r>
      <w:r w:rsidRPr="00C71128">
        <w:t>на</w:t>
      </w:r>
      <w:r>
        <w:t xml:space="preserve"> </w:t>
      </w:r>
      <w:r w:rsidRPr="00C71128">
        <w:t>письма</w:t>
      </w:r>
      <w:r>
        <w:t xml:space="preserve"> </w:t>
      </w:r>
      <w:r w:rsidRPr="00C71128">
        <w:t>налогоплательщиков</w:t>
      </w:r>
      <w:bookmarkEnd w:id="15"/>
      <w:bookmarkEnd w:id="16"/>
      <w:bookmarkEnd w:id="17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ЗН-4-12/10228@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повышении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сообщается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сотрудник,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письмо),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требования: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длинным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(оптимальный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A-4);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четким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понятным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(используются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короткие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избегаются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непонятные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слова,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сложная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лексика);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придерживаться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стиля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письма;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избегать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юридически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зафиксированного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конфликтной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ситуации;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даваться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вопросов;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принести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извинения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>
      <w:pPr>
        <w:spacing w:after="200" w:line="276" w:lineRule="auto"/>
        <w:jc w:val="left"/>
        <w:rPr>
          <w:rFonts w:eastAsiaTheme="majorEastAsia" w:cstheme="majorBidi"/>
          <w:bCs/>
          <w:sz w:val="28"/>
          <w:szCs w:val="28"/>
        </w:rPr>
      </w:pPr>
      <w:bookmarkStart w:id="18" w:name="_Toc309721092"/>
      <w:bookmarkStart w:id="19" w:name="_Toc309812536"/>
      <w:r>
        <w:br w:type="page"/>
      </w:r>
    </w:p>
    <w:p w:rsidR="00C71128" w:rsidRPr="00C71128" w:rsidRDefault="00C71128" w:rsidP="00830EC1">
      <w:pPr>
        <w:pStyle w:val="2"/>
      </w:pPr>
      <w:bookmarkStart w:id="20" w:name="_Toc405837603"/>
      <w:r w:rsidRPr="00C71128">
        <w:lastRenderedPageBreak/>
        <w:t>10</w:t>
      </w:r>
      <w:r>
        <w:t xml:space="preserve"> </w:t>
      </w:r>
      <w:r w:rsidRPr="00C71128">
        <w:t>Составление</w:t>
      </w:r>
      <w:r>
        <w:t xml:space="preserve"> </w:t>
      </w:r>
      <w:r w:rsidRPr="00C71128">
        <w:t>налоговой</w:t>
      </w:r>
      <w:r>
        <w:t xml:space="preserve"> </w:t>
      </w:r>
      <w:r w:rsidRPr="00C71128">
        <w:t>отчетности</w:t>
      </w:r>
      <w:bookmarkEnd w:id="18"/>
      <w:bookmarkEnd w:id="19"/>
      <w:bookmarkEnd w:id="20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федеральным,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региональным,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специальными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режимами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30.12.2012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ММ-3-1/693@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статистической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подготавливаются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1-НМ,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1-НОМ,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2-НМ,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4-НОИ,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4-ОР,4-РЕС,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5-П,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1-НДС,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2-НДС,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НГР.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указаниях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30EC1" w:rsidRPr="00C71128"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РФ.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1-НМ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начислении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1-НМ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нарастающим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итогом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9-го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формируют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уплачивающим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платежи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межрегиональных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уплачивающим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2-НК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2-НК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ежеквартально,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25-го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 w:rsidR="00830EC1"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Межрегиональные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файлов,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сводный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включающий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крупнейших.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сводный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файлами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равна,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показателям,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сводного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4-НОМ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санкциям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видам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деятельности.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4-НОМ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межрегиональными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бланке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4-НМ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сборам,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пеням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санкциям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бюджетную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lastRenderedPageBreak/>
        <w:t>Федерации»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межрегиональными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10-го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отчетным.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Межрегиональные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(МРИ)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отдельно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(УФНС)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почте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межрегиональными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инспекциями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форматами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файлов,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сводный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включающий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налогоплательщикам,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сводный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бланках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(отдельными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файлами)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МРИ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КН,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региона.</w:t>
      </w:r>
      <w:r>
        <w:rPr>
          <w:sz w:val="28"/>
          <w:szCs w:val="28"/>
        </w:rPr>
        <w:t xml:space="preserve"> 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передают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форматам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текстовых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файлов.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нарастающим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итогом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br w:type="page"/>
      </w:r>
    </w:p>
    <w:p w:rsidR="00C71128" w:rsidRPr="00C71128" w:rsidRDefault="00830EC1" w:rsidP="00830EC1">
      <w:pPr>
        <w:pStyle w:val="2"/>
      </w:pPr>
      <w:bookmarkStart w:id="21" w:name="_Toc405837604"/>
      <w:r>
        <w:lastRenderedPageBreak/>
        <w:t>Заключение</w:t>
      </w:r>
      <w:bookmarkEnd w:id="21"/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подобраны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тему.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="00830EC1" w:rsidRPr="00C71128">
        <w:rPr>
          <w:sz w:val="28"/>
          <w:szCs w:val="28"/>
        </w:rPr>
        <w:t>часть,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журналах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газетах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2-3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использовались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структурирования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вышеозначенной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темы.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материалах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  <w:lang w:eastAsia="ru-RU"/>
        </w:rPr>
        <w:t>И</w:t>
      </w:r>
      <w:r w:rsidR="00830EC1" w:rsidRPr="00844976">
        <w:rPr>
          <w:sz w:val="28"/>
          <w:szCs w:val="28"/>
          <w:lang w:eastAsia="ru-RU"/>
        </w:rPr>
        <w:t xml:space="preserve">ФНС России по </w:t>
      </w:r>
      <w:r w:rsidR="00830EC1">
        <w:rPr>
          <w:sz w:val="28"/>
          <w:szCs w:val="28"/>
          <w:lang w:eastAsia="ru-RU"/>
        </w:rPr>
        <w:t>Октябрьскому району г. Барнаула</w:t>
      </w:r>
      <w:r w:rsidRPr="00C71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удельного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веса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поступлениях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9%.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анализируемом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="00830EC1" w:rsidRPr="00C71128">
        <w:rPr>
          <w:sz w:val="28"/>
          <w:szCs w:val="28"/>
        </w:rPr>
        <w:t>вычетов,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денежном,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натуральном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выражении.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  <w:lang w:eastAsia="ru-RU"/>
        </w:rPr>
        <w:t>И</w:t>
      </w:r>
      <w:r w:rsidR="00830EC1" w:rsidRPr="00844976">
        <w:rPr>
          <w:sz w:val="28"/>
          <w:szCs w:val="28"/>
          <w:lang w:eastAsia="ru-RU"/>
        </w:rPr>
        <w:t xml:space="preserve">ФНС России по </w:t>
      </w:r>
      <w:r w:rsidR="00830EC1">
        <w:rPr>
          <w:sz w:val="28"/>
          <w:szCs w:val="28"/>
          <w:lang w:eastAsia="ru-RU"/>
        </w:rPr>
        <w:t>Октябрьскому району г. Барнаула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234451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Ввиду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величину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поступающего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бюджеты,</w:t>
      </w:r>
      <w:r>
        <w:rPr>
          <w:sz w:val="28"/>
          <w:szCs w:val="28"/>
        </w:rPr>
        <w:t xml:space="preserve"> </w:t>
      </w:r>
      <w:r w:rsidR="00830EC1">
        <w:rPr>
          <w:sz w:val="28"/>
          <w:szCs w:val="28"/>
          <w:lang w:eastAsia="ru-RU"/>
        </w:rPr>
        <w:t>И</w:t>
      </w:r>
      <w:r w:rsidR="00830EC1" w:rsidRPr="00844976">
        <w:rPr>
          <w:sz w:val="28"/>
          <w:szCs w:val="28"/>
          <w:lang w:eastAsia="ru-RU"/>
        </w:rPr>
        <w:t xml:space="preserve">ФНС России по </w:t>
      </w:r>
      <w:r w:rsidR="00830EC1">
        <w:rPr>
          <w:sz w:val="28"/>
          <w:szCs w:val="28"/>
          <w:lang w:eastAsia="ru-RU"/>
        </w:rPr>
        <w:t>Октябрьскому району г. Барнаула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регулярная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объемная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правильности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своевременности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правильности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доначислено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</w:t>
      </w:r>
      <w:r w:rsidR="00830EC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20197,5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доначислений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201</w:t>
      </w:r>
      <w:r w:rsidR="00830E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год.</w:t>
      </w:r>
    </w:p>
    <w:p w:rsid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  <w:r w:rsidRPr="00C71128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это,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налогоплательщиков,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ФНС.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1128">
        <w:rPr>
          <w:sz w:val="28"/>
          <w:szCs w:val="28"/>
        </w:rPr>
        <w:t>России.</w:t>
      </w:r>
    </w:p>
    <w:p w:rsidR="00830EC1" w:rsidRPr="00C71128" w:rsidRDefault="00830EC1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30EC1" w:rsidRDefault="00830EC1" w:rsidP="00830EC1">
      <w:pPr>
        <w:pStyle w:val="2"/>
      </w:pPr>
    </w:p>
    <w:p w:rsidR="00C71128" w:rsidRPr="00830EC1" w:rsidRDefault="00C71128" w:rsidP="00830EC1">
      <w:pPr>
        <w:pStyle w:val="2"/>
      </w:pPr>
      <w:r w:rsidRPr="00C71128">
        <w:br w:type="page"/>
      </w:r>
      <w:bookmarkStart w:id="22" w:name="_Toc405837605"/>
      <w:r w:rsidRPr="00830EC1">
        <w:lastRenderedPageBreak/>
        <w:t>Список использованных источников</w:t>
      </w:r>
      <w:bookmarkEnd w:id="22"/>
    </w:p>
    <w:p w:rsidR="00C71128" w:rsidRPr="00C71128" w:rsidRDefault="00C71128" w:rsidP="00830EC1">
      <w:pPr>
        <w:pStyle w:val="2"/>
      </w:pP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Конституция РФ принята всенародным голосованием 12.12.1993 (по состоянию на 18.10.2011) // Российская газета. - 21.01.2013. - № 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Налоговый кодекс Российской Федерации (часть первая) от 31.07.1998 N 146-ФЗ (по состоянию на 18.10.2011) // Собрание законодательства РФ. - 03.08.1998. - № 31. - Ст. 3824.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Налоговый кодекс Российской Федерации (часть вторая) от 05.08.2000 № 117-ФЗ (по состоянию на 18.10.2011) // Собрание законодательства РФ. -07.08.2000. - № 32. - Ст. 3340.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Бюджетный кодекс Российской Федерации от 31.07.1998 № 145-ФЗ (по состоянию на 18.10.2011) // Собрание законодательства РФ. - 03.08.1998. - №31. - Ст. 3823.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О внесении изменений и дополнений в часть вторую НК РФ и некоторые другие акты законодательства РФ о налогах и сборах: Федеральный закон от 24.07.2002 N 104-ФЗ // Российская газета. – 24.07.2002. - № 68.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О внесении изменений в Федеральный закон от 21.07.2012 № 104-ФЗ: Федеральный закон от 21.07.2012 № 101-ФЗ // Российская газета. - 21.07.2013. - № 67.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О внесении изменений и дополнений в часть вторую НК РФ и некоторые другие акты законодательства РФ о налогах и сборах: Федеральный закон от 29.12.2001 г. № 187-ФЗ // Собрание законодательства РФ. -29.07.2002. - № 30. - Ст. 3021.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О бухгалтерском учете: Федеральный закон от 21.11.96 N 129-ФЗ (по состоянию на 18.10.2011) // Собрание законодательства РФ. - 25.11.1996. - N 48. - Ст. 5369.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О классификаторе правовых актов: Указ Президента Российской Федерации от 15.03.2000 № 511 (по состоянию на 18.10.2011) // Собрание законодательства РФ. - 20.03.2000. - N 12. - Ст. 1260.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 xml:space="preserve">Багдасарян Л.Ю. Эволюция развития подоходного налогообложения в </w:t>
      </w:r>
      <w:r w:rsidRPr="00830EC1">
        <w:rPr>
          <w:sz w:val="28"/>
          <w:szCs w:val="28"/>
        </w:rPr>
        <w:lastRenderedPageBreak/>
        <w:t>России / Л.Ю. Багдасарян // Материалы XIII научно-технической конференции «Вузовская наука – Северо-Кавказскому региону». Том третий. Экономика. - Ставрополь: СевКавГТУ, 2013. – С. 165-167.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Базилевич О. И. Налоги и налогообложение: практикум: учеб. пособие / О. И. Базилевич, А. З. Дадашев.- М.: Вузовский учебник, 2013. - 285с.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Боброва А. В. Способы оптимизации конкретных налогов и сборов / А.В. Боброва // «Черные дыры» в российском законодательстве. - М., 2013. -№ 2. - С. 280-286.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Бородин В. А. Налоговая нагрузка как важная составляющая финансовой устойчивости предприятия / В.А. Бородин // Экономический анализ: теория и практика. - М., 2014. - № 2. - С. 13-21.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 xml:space="preserve">Взносы во внебюджетные фонды в 2014 году [Электронный ресурс] // Режим доступа: </w:t>
      </w:r>
      <w:hyperlink r:id="rId22" w:history="1">
        <w:r w:rsidRPr="00830EC1">
          <w:rPr>
            <w:rStyle w:val="af8"/>
            <w:sz w:val="28"/>
            <w:szCs w:val="28"/>
          </w:rPr>
          <w:t>http://www.buh.ru/document.jsp?ID=1491</w:t>
        </w:r>
      </w:hyperlink>
      <w:r w:rsidRPr="00830EC1">
        <w:rPr>
          <w:sz w:val="28"/>
          <w:szCs w:val="28"/>
        </w:rPr>
        <w:t>, свободный. Загл. с экрана. – (дата обращения 21.01.2014).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Джабазян Е.Л. Предоставление налоговых вычетов по НДФЛ работодателем / Е.Л. Джабазян // отдел кадров коммерческой организации, 2014 . - №7. – с. 7-15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Доштаева, Е. Д. Практические аспекты налоговой политики России / Е.Д. Доштаева // Финансы и кредит. - 2013. - № 46. - С. 42-46.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Дрожжина И. А. Внедрение системы налогового контроллинга на микроуровне /И.А. Дрожжина // Управленческий учет. - 2014. - № 2. - С. 58-63.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Занадворов В.С. Экономическая теория государственных финансов /В.С. Занадворов, М.Г. Колосницына. - М.: Издательский дом ГУ ВШЭ, 2013. – 452с.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Качур О. В. Налоги и налогообложение: учеб. пособие / О. В. Качур. - 2-е изд., перераб. и доп.- М.: КноРус, 2013. - 320с.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Кирова Е.А. Налоговая нагрузка: как ее определять?/Е.А. Кирова // Финансы. - 2013. - № 4. - С. 29-33.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 xml:space="preserve">Коваль Л. Налоговое планирование. Оптимизация налоговой нагрузки хозяйствующего субъекта / Л. Коваль // Право и экономика. - 2012. -№ 9. - С. </w:t>
      </w:r>
      <w:r w:rsidRPr="00830EC1">
        <w:rPr>
          <w:sz w:val="28"/>
          <w:szCs w:val="28"/>
        </w:rPr>
        <w:lastRenderedPageBreak/>
        <w:t>46-49.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Козлов Д.А. Проблемы налогового регулирования реального сектора экономики России / Д.А. Козлов // Финансы. - 2013. - № 11. - С. 37-39.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Колчин С. П. Налоги и налогообложение: учеб. пособие / С. П. Колчин. - М.: Вузовский учебник, 2012. - 272с.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Костин И.В. Порядок регистрации и снятия с учета в ФСС / И.В. Костин // Упрощенная система налогообложения: бухгалтерский учет и налогообложение. – 2014. - № 4. – С. 7-17.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Кочетов Н. Об оценке налоговой нагрузки на финансовые потоки предприятий / Н.Кочетов // Общество и экономика. - М., 2014. - № 9. – С. 149-160.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Маслов Б. Г. Оценка влияния снижения уровня налога на добавленную стоимость на экономическую деятельность предприятий /Б.Г. Маслов // Менеджмент в России и за рубежом. - 2013. - № 2. - с. 64-69.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Материалы XIII научно-технической конференции «Вузовская наука – Северо-Кавказскому региону». Том третий. Экономика. Ставрополь: СевКавГТУ, 2013. - 190 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Мельников С.А. Мифы о чрезмерной налоговой нагрузке на бизнес и ключевые направления модернизации налоговой системы России, устраняющие ее реальные недостатки / С.А. Мельников, Н.И. Федякова, В.Г. Садков, Д.В. Аронов // Финансы и кредит. - М., 2013. - № 13. - С. 19-27.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Миляков Н. В. Налоги и налогообложение: учебник / Н. В. Миляков; Фин. акад. при Правительстве Рос. Федерации. - 7-е изд.- М.: ИНФРА-М, 2014. - 520с.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Налоги и налогообложение: учеб. для вузов / под ред. И. А. Майбурова. - 3-е изд., перераб. и доп.- М.: ЮНИТИ-[ДАНА], 2013. - 519с.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Налоги и налогообложение: учеб. пособие для вузов / под ред. Г. Б. Поляка. - 2-е изд., перераб. и доп.- М.: ЮНИТИ-[ДАНА], 2013. - 415с.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Перов А. В. Налоги и налогообложение: учеб. пособие/ А. В. Перов, А. В. Толкушкин. - 8-е изд., перераб. и доп.- М.: Юрайт- [Издат], 2014. - 418с.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lastRenderedPageBreak/>
        <w:t>Романов А.Ю. Налоги и налогообложение: учеб. пособие / А. Ю. Романов. - М.: ИНФРА-М, 2013. - 334с.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Савченко В.Я. О методике определения налоговой нагрузки / В.Я.Савченко // Финансы. - 2012. - № 7. - С. 26-32.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Салькова О. С. Налоговая нагрузка в системе управления финансами предприятия / О.С. Салькова // Финансы. - 2014. - № 1. - С. 33-38.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Слободчиков Д. Н. Критерии оценки эффективности налогообложения в системе налогового регулирования /Д.Н. Слободчиков // Экономический анализ: теория и практика. - 2014. - № 3. - С. 60-67.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Соколов М. Налоговая нагрузка и ее регулирование / М. Соколов // Экономист. – 2012. - № 3. - С. 54-63.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Терентьева С.Н. Сравнительная характеристика налогообложения физических лиц налогом на доходы в США и во Франции / С.Н. Терентьева // Финансовый менеджмент, 2012 . - №2 . – С. 12-19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Титов В.В. Влияние налоговой системы на эффективность деятельности предприятия / В.В. Титов // Финансы. - М., 2014. - №2. - С. 42-47.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Фесина Е.Л. Проблемы легализации «теневой» зарплаты в условиях рыночных преобразований / Е.Л. Фесина // Вестник СГЭУ. – 2013, № 6(32.). – С . 182-187.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Филина Ф. Н. Налоги и налогообложение в Российской Федерации / Ф.Н. Филина // Финанасы. -</w:t>
      </w:r>
      <w:r w:rsidRPr="00830EC1">
        <w:rPr>
          <w:sz w:val="28"/>
          <w:szCs w:val="28"/>
        </w:rPr>
        <w:tab/>
        <w:t>М.: ГроссМедиа, 2013. – 218с.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 xml:space="preserve">Фомичева Л.П. Летний пакет изменений: ЕСН заменили взносами, пособия увеличились в размере [Электронный ресурс] // Режим доступа: </w:t>
      </w:r>
      <w:hyperlink r:id="rId23" w:history="1">
        <w:r w:rsidRPr="00830EC1">
          <w:rPr>
            <w:rStyle w:val="af8"/>
            <w:sz w:val="28"/>
            <w:szCs w:val="28"/>
          </w:rPr>
          <w:t>http://www.buh.ru/document.jsp?ID=1491</w:t>
        </w:r>
      </w:hyperlink>
      <w:r w:rsidRPr="00830EC1">
        <w:rPr>
          <w:sz w:val="28"/>
          <w:szCs w:val="28"/>
        </w:rPr>
        <w:t>, свободный. Загл. с экрана. – (дата обращения 21.01.2011).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Чипуренко Е. В. Налоговая нагрузка предприятия: анализ, расчет, управление / Е.В. Чипуренко // Налоговый вестник. - 2012. – 168с.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 xml:space="preserve">Чужмарова С.И. Налоговая нагрузка северных территорий (на примере Республики Коми) / С.И. Чужмарова, А.И. Чужмаров /[Электронный ресурс] // Режим доступа: </w:t>
      </w:r>
      <w:hyperlink r:id="rId24" w:history="1">
        <w:r w:rsidRPr="00830EC1">
          <w:rPr>
            <w:rStyle w:val="af8"/>
            <w:sz w:val="28"/>
            <w:szCs w:val="28"/>
          </w:rPr>
          <w:t>http://www.syktsu.ru/vestnik/2012/2012-4/30.htm</w:t>
        </w:r>
      </w:hyperlink>
      <w:r w:rsidRPr="00830EC1">
        <w:rPr>
          <w:sz w:val="28"/>
          <w:szCs w:val="28"/>
        </w:rPr>
        <w:t xml:space="preserve">, </w:t>
      </w:r>
      <w:r w:rsidRPr="00830EC1">
        <w:rPr>
          <w:sz w:val="28"/>
          <w:szCs w:val="28"/>
        </w:rPr>
        <w:lastRenderedPageBreak/>
        <w:t>свободный. Загл. с экрана. – ( дата обращения 11.01.2011).</w:t>
      </w:r>
    </w:p>
    <w:p w:rsidR="00C71128" w:rsidRPr="00830EC1" w:rsidRDefault="00C71128" w:rsidP="00830EC1">
      <w:pPr>
        <w:pStyle w:val="a3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30EC1">
        <w:rPr>
          <w:sz w:val="28"/>
          <w:szCs w:val="28"/>
        </w:rPr>
        <w:t>Юрченко В. Р. Методологические аспекты расчета показателя налоговой нагрузки / В.Р. Юрченко // Финансы и кредит. - № 20. - 2013. - С. 25-32.</w:t>
      </w:r>
    </w:p>
    <w:p w:rsidR="00C71128" w:rsidRPr="00C71128" w:rsidRDefault="00C71128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B25B2" w:rsidRPr="00C71128" w:rsidRDefault="002B25B2" w:rsidP="00844976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2B25B2" w:rsidRPr="00C71128" w:rsidSect="00830EC1">
      <w:footerReference w:type="default" r:id="rId2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BA" w:rsidRDefault="009C17BA" w:rsidP="00830EC1">
      <w:r>
        <w:separator/>
      </w:r>
    </w:p>
  </w:endnote>
  <w:endnote w:type="continuationSeparator" w:id="1">
    <w:p w:rsidR="009C17BA" w:rsidRDefault="009C17BA" w:rsidP="0083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4718"/>
      <w:docPartObj>
        <w:docPartGallery w:val="Page Numbers (Bottom of Page)"/>
        <w:docPartUnique/>
      </w:docPartObj>
    </w:sdtPr>
    <w:sdtContent>
      <w:p w:rsidR="00830EC1" w:rsidRDefault="00830EC1" w:rsidP="00830EC1">
        <w:pPr>
          <w:pStyle w:val="af6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BA" w:rsidRDefault="009C17BA" w:rsidP="00830EC1">
      <w:r>
        <w:separator/>
      </w:r>
    </w:p>
  </w:footnote>
  <w:footnote w:type="continuationSeparator" w:id="1">
    <w:p w:rsidR="009C17BA" w:rsidRDefault="009C17BA" w:rsidP="0083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AA"/>
    <w:multiLevelType w:val="hybridMultilevel"/>
    <w:tmpl w:val="A5B8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56FF7"/>
    <w:multiLevelType w:val="hybridMultilevel"/>
    <w:tmpl w:val="5EFECFF0"/>
    <w:lvl w:ilvl="0" w:tplc="E3AAA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927CCC"/>
    <w:multiLevelType w:val="hybridMultilevel"/>
    <w:tmpl w:val="F5A666E4"/>
    <w:lvl w:ilvl="0" w:tplc="E3AAA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7C3C17"/>
    <w:multiLevelType w:val="hybridMultilevel"/>
    <w:tmpl w:val="149AB4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00347"/>
    <w:multiLevelType w:val="hybridMultilevel"/>
    <w:tmpl w:val="CEA6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AE1D8D"/>
    <w:multiLevelType w:val="hybridMultilevel"/>
    <w:tmpl w:val="D99816FA"/>
    <w:lvl w:ilvl="0" w:tplc="0419001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5D47A4"/>
    <w:multiLevelType w:val="hybridMultilevel"/>
    <w:tmpl w:val="55A27E66"/>
    <w:lvl w:ilvl="0" w:tplc="A5EAB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36AF3"/>
    <w:multiLevelType w:val="singleLevel"/>
    <w:tmpl w:val="8CCE3184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4FD02951"/>
    <w:multiLevelType w:val="hybridMultilevel"/>
    <w:tmpl w:val="AB1AAF32"/>
    <w:lvl w:ilvl="0" w:tplc="E3AAA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B6F6E8F"/>
    <w:multiLevelType w:val="hybridMultilevel"/>
    <w:tmpl w:val="49500D36"/>
    <w:lvl w:ilvl="0" w:tplc="E3AAA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EB177B9"/>
    <w:multiLevelType w:val="hybridMultilevel"/>
    <w:tmpl w:val="89E451D6"/>
    <w:lvl w:ilvl="0" w:tplc="E3AAA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14B3E7D"/>
    <w:multiLevelType w:val="multilevel"/>
    <w:tmpl w:val="1188F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D7256"/>
    <w:multiLevelType w:val="hybridMultilevel"/>
    <w:tmpl w:val="17B25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452F3A"/>
    <w:multiLevelType w:val="hybridMultilevel"/>
    <w:tmpl w:val="1D3A95FA"/>
    <w:lvl w:ilvl="0" w:tplc="0419001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3EB4FDC"/>
    <w:multiLevelType w:val="hybridMultilevel"/>
    <w:tmpl w:val="3BEAE464"/>
    <w:lvl w:ilvl="0" w:tplc="65A00B6E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311A74"/>
    <w:multiLevelType w:val="multilevel"/>
    <w:tmpl w:val="A05C7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6AC70A6"/>
    <w:multiLevelType w:val="hybridMultilevel"/>
    <w:tmpl w:val="CF2C5E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E0C6459"/>
    <w:multiLevelType w:val="singleLevel"/>
    <w:tmpl w:val="0CAEF548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28"/>
    <w:rsid w:val="001850AD"/>
    <w:rsid w:val="00262A27"/>
    <w:rsid w:val="002B25B2"/>
    <w:rsid w:val="002E4F66"/>
    <w:rsid w:val="003D51D2"/>
    <w:rsid w:val="006D2C74"/>
    <w:rsid w:val="007313E6"/>
    <w:rsid w:val="00761C5E"/>
    <w:rsid w:val="007C78DD"/>
    <w:rsid w:val="00830EC1"/>
    <w:rsid w:val="00844976"/>
    <w:rsid w:val="00884715"/>
    <w:rsid w:val="009C17BA"/>
    <w:rsid w:val="009F3AFD"/>
    <w:rsid w:val="00A92C24"/>
    <w:rsid w:val="00C71128"/>
    <w:rsid w:val="00C90E0B"/>
    <w:rsid w:val="00D54FAE"/>
    <w:rsid w:val="00D83F35"/>
    <w:rsid w:val="00DB7958"/>
    <w:rsid w:val="00E1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rsid w:val="00C71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основной"/>
    <w:basedOn w:val="a"/>
    <w:next w:val="a"/>
    <w:link w:val="20"/>
    <w:autoRedefine/>
    <w:uiPriority w:val="9"/>
    <w:unhideWhenUsed/>
    <w:qFormat/>
    <w:rsid w:val="00830EC1"/>
    <w:pPr>
      <w:keepNext/>
      <w:keepLines/>
      <w:tabs>
        <w:tab w:val="left" w:pos="2235"/>
        <w:tab w:val="center" w:pos="4819"/>
      </w:tabs>
      <w:spacing w:line="360" w:lineRule="auto"/>
      <w:jc w:val="center"/>
      <w:outlineLvl w:val="1"/>
    </w:pPr>
    <w:rPr>
      <w:rFonts w:eastAsiaTheme="majorEastAsia" w:cstheme="majorBidi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rsid w:val="00C71128"/>
    <w:pPr>
      <w:keepNext/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unhideWhenUsed/>
    <w:rsid w:val="00C711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rsid w:val="00C711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1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C711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rsid w:val="00C711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11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основной Знак"/>
    <w:basedOn w:val="a0"/>
    <w:link w:val="2"/>
    <w:uiPriority w:val="9"/>
    <w:rsid w:val="00830EC1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71128"/>
    <w:rPr>
      <w:rFonts w:ascii="Times New Roman" w:eastAsia="Times New Roman" w:hAnsi="Times New Roman" w:cs="Times New Roman"/>
      <w:bCs/>
      <w:sz w:val="28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71128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C7112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711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C711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11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1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B7958"/>
    <w:pPr>
      <w:spacing w:line="360" w:lineRule="auto"/>
    </w:pPr>
  </w:style>
  <w:style w:type="paragraph" w:styleId="11">
    <w:name w:val="toc 1"/>
    <w:basedOn w:val="a"/>
    <w:next w:val="a"/>
    <w:autoRedefine/>
    <w:unhideWhenUsed/>
    <w:rsid w:val="003D51D2"/>
    <w:pPr>
      <w:spacing w:line="360" w:lineRule="auto"/>
      <w:jc w:val="left"/>
    </w:pPr>
  </w:style>
  <w:style w:type="paragraph" w:styleId="a3">
    <w:name w:val="List Paragraph"/>
    <w:basedOn w:val="a"/>
    <w:autoRedefine/>
    <w:uiPriority w:val="34"/>
    <w:rsid w:val="00761C5E"/>
    <w:pPr>
      <w:spacing w:line="360" w:lineRule="auto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C71128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"/>
    <w:uiPriority w:val="39"/>
    <w:semiHidden/>
    <w:unhideWhenUsed/>
    <w:qFormat/>
    <w:rsid w:val="00C71128"/>
    <w:pPr>
      <w:outlineLvl w:val="9"/>
    </w:pPr>
  </w:style>
  <w:style w:type="paragraph" w:styleId="a6">
    <w:name w:val="Title"/>
    <w:basedOn w:val="a"/>
    <w:next w:val="a"/>
    <w:link w:val="a7"/>
    <w:uiPriority w:val="10"/>
    <w:rsid w:val="00C7112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71128"/>
    <w:rPr>
      <w:rFonts w:ascii="Times New Roman" w:eastAsia="Times New Roman" w:hAnsi="Times New Roman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rsid w:val="00C71128"/>
    <w:pPr>
      <w:spacing w:after="60"/>
      <w:jc w:val="center"/>
      <w:outlineLvl w:val="1"/>
    </w:pPr>
  </w:style>
  <w:style w:type="character" w:customStyle="1" w:styleId="a9">
    <w:name w:val="Подзаголовок Знак"/>
    <w:basedOn w:val="a0"/>
    <w:link w:val="a8"/>
    <w:uiPriority w:val="11"/>
    <w:rsid w:val="00C7112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rsid w:val="00C71128"/>
    <w:rPr>
      <w:b/>
      <w:bCs/>
    </w:rPr>
  </w:style>
  <w:style w:type="character" w:styleId="ab">
    <w:name w:val="Emphasis"/>
    <w:basedOn w:val="a0"/>
    <w:uiPriority w:val="20"/>
    <w:rsid w:val="00C71128"/>
    <w:rPr>
      <w:rFonts w:ascii="Times New Roman" w:hAnsi="Times New Roman"/>
      <w:b/>
      <w:i/>
      <w:iCs/>
    </w:rPr>
  </w:style>
  <w:style w:type="paragraph" w:styleId="ac">
    <w:name w:val="No Spacing"/>
    <w:basedOn w:val="a"/>
    <w:uiPriority w:val="1"/>
    <w:rsid w:val="00C71128"/>
    <w:rPr>
      <w:szCs w:val="32"/>
    </w:rPr>
  </w:style>
  <w:style w:type="paragraph" w:styleId="22">
    <w:name w:val="Quote"/>
    <w:basedOn w:val="a"/>
    <w:next w:val="a"/>
    <w:link w:val="23"/>
    <w:uiPriority w:val="29"/>
    <w:rsid w:val="00C71128"/>
    <w:rPr>
      <w:i/>
    </w:rPr>
  </w:style>
  <w:style w:type="character" w:customStyle="1" w:styleId="23">
    <w:name w:val="Цитата 2 Знак"/>
    <w:basedOn w:val="a0"/>
    <w:link w:val="22"/>
    <w:uiPriority w:val="29"/>
    <w:rsid w:val="00C71128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rsid w:val="00C71128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C71128"/>
    <w:rPr>
      <w:rFonts w:ascii="Times New Roman" w:eastAsia="Times New Roman" w:hAnsi="Times New Roman" w:cs="Times New Roman"/>
      <w:b/>
      <w:i/>
      <w:sz w:val="24"/>
      <w:szCs w:val="24"/>
      <w:lang w:val="en-US" w:bidi="en-US"/>
    </w:rPr>
  </w:style>
  <w:style w:type="character" w:styleId="af">
    <w:name w:val="Subtle Emphasis"/>
    <w:uiPriority w:val="19"/>
    <w:rsid w:val="00C71128"/>
    <w:rPr>
      <w:i/>
      <w:color w:val="5A5A5A"/>
    </w:rPr>
  </w:style>
  <w:style w:type="character" w:styleId="af0">
    <w:name w:val="Intense Emphasis"/>
    <w:basedOn w:val="a0"/>
    <w:uiPriority w:val="21"/>
    <w:rsid w:val="00C7112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rsid w:val="00C71128"/>
    <w:rPr>
      <w:sz w:val="24"/>
      <w:szCs w:val="24"/>
      <w:u w:val="single"/>
    </w:rPr>
  </w:style>
  <w:style w:type="character" w:styleId="af2">
    <w:name w:val="Intense Reference"/>
    <w:basedOn w:val="a0"/>
    <w:uiPriority w:val="32"/>
    <w:rsid w:val="00C71128"/>
    <w:rPr>
      <w:b/>
      <w:sz w:val="24"/>
      <w:u w:val="single"/>
    </w:rPr>
  </w:style>
  <w:style w:type="character" w:styleId="af3">
    <w:name w:val="Book Title"/>
    <w:basedOn w:val="a0"/>
    <w:uiPriority w:val="33"/>
    <w:rsid w:val="00C71128"/>
    <w:rPr>
      <w:rFonts w:ascii="Times New Roman" w:eastAsia="Times New Roman" w:hAnsi="Times New Roman"/>
      <w:b/>
      <w:i/>
      <w:sz w:val="24"/>
      <w:szCs w:val="24"/>
    </w:rPr>
  </w:style>
  <w:style w:type="paragraph" w:customStyle="1" w:styleId="-">
    <w:name w:val="Инфо-Провайд"/>
    <w:autoRedefine/>
    <w:rsid w:val="00C7112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C711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7112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C7112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7112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styleId="af8">
    <w:name w:val="Hyperlink"/>
    <w:basedOn w:val="a0"/>
    <w:uiPriority w:val="99"/>
    <w:unhideWhenUsed/>
    <w:rsid w:val="00C71128"/>
    <w:rPr>
      <w:color w:val="0000FF"/>
      <w:u w:val="single"/>
    </w:rPr>
  </w:style>
  <w:style w:type="table" w:styleId="af9">
    <w:name w:val="Table Grid"/>
    <w:basedOn w:val="a1"/>
    <w:rsid w:val="00C7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rsid w:val="00C71128"/>
    <w:pPr>
      <w:spacing w:after="120"/>
      <w:ind w:left="283"/>
    </w:pPr>
    <w:rPr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C71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71128"/>
    <w:pPr>
      <w:spacing w:after="120" w:line="480" w:lineRule="auto"/>
    </w:pPr>
    <w:rPr>
      <w:snapToGrid w:val="0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112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C71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C7112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1128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uiPriority w:val="99"/>
    <w:semiHidden/>
    <w:unhideWhenUsed/>
    <w:rsid w:val="00C7112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71128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C71128"/>
  </w:style>
  <w:style w:type="paragraph" w:customStyle="1" w:styleId="12">
    <w:name w:val="Абзац списка1"/>
    <w:basedOn w:val="a"/>
    <w:rsid w:val="00C71128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</w:rPr>
  </w:style>
  <w:style w:type="paragraph" w:styleId="aff0">
    <w:name w:val="Normal (Web)"/>
    <w:basedOn w:val="a"/>
    <w:uiPriority w:val="99"/>
    <w:unhideWhenUsed/>
    <w:rsid w:val="00C7112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f1">
    <w:name w:val="Заголовок Основной"/>
    <w:basedOn w:val="1"/>
    <w:link w:val="aff2"/>
    <w:rsid w:val="00C71128"/>
    <w:pPr>
      <w:keepLines w:val="0"/>
      <w:spacing w:before="0" w:line="360" w:lineRule="auto"/>
      <w:jc w:val="center"/>
    </w:pPr>
    <w:rPr>
      <w:rFonts w:ascii="Times New Roman" w:eastAsia="Calibri" w:hAnsi="Times New Roman" w:cs="Times New Roman"/>
      <w:color w:val="auto"/>
      <w:kern w:val="32"/>
    </w:rPr>
  </w:style>
  <w:style w:type="character" w:customStyle="1" w:styleId="aff2">
    <w:name w:val="Заголовок Основной Знак"/>
    <w:basedOn w:val="10"/>
    <w:link w:val="aff1"/>
    <w:rsid w:val="00C71128"/>
    <w:rPr>
      <w:rFonts w:ascii="Times New Roman" w:eastAsia="Calibri" w:hAnsi="Times New Roman" w:cs="Times New Roman"/>
      <w:kern w:val="32"/>
    </w:rPr>
  </w:style>
  <w:style w:type="paragraph" w:customStyle="1" w:styleId="aff3">
    <w:name w:val="Заголовок Заглавие"/>
    <w:basedOn w:val="aff1"/>
    <w:link w:val="aff4"/>
    <w:rsid w:val="00C71128"/>
    <w:rPr>
      <w:sz w:val="32"/>
      <w:szCs w:val="32"/>
    </w:rPr>
  </w:style>
  <w:style w:type="character" w:customStyle="1" w:styleId="aff4">
    <w:name w:val="Заголовок Заглавие Знак"/>
    <w:basedOn w:val="aff2"/>
    <w:link w:val="aff3"/>
    <w:rsid w:val="00C71128"/>
    <w:rPr>
      <w:sz w:val="32"/>
      <w:szCs w:val="32"/>
    </w:rPr>
  </w:style>
  <w:style w:type="character" w:styleId="aff5">
    <w:name w:val="page number"/>
    <w:basedOn w:val="a0"/>
    <w:rsid w:val="00C71128"/>
  </w:style>
  <w:style w:type="paragraph" w:styleId="aff6">
    <w:name w:val="Body Text"/>
    <w:basedOn w:val="a"/>
    <w:link w:val="aff7"/>
    <w:rsid w:val="00C71128"/>
    <w:pPr>
      <w:spacing w:line="360" w:lineRule="auto"/>
    </w:pPr>
    <w:rPr>
      <w:rFonts w:eastAsia="Calibri" w:cs="Times New Roman"/>
      <w:sz w:val="28"/>
      <w:szCs w:val="28"/>
    </w:rPr>
  </w:style>
  <w:style w:type="character" w:customStyle="1" w:styleId="aff7">
    <w:name w:val="Основной текст Знак"/>
    <w:basedOn w:val="a0"/>
    <w:link w:val="aff6"/>
    <w:rsid w:val="00C71128"/>
    <w:rPr>
      <w:rFonts w:ascii="Times New Roman" w:eastAsia="Calibri" w:hAnsi="Times New Roman" w:cs="Times New Roman"/>
      <w:sz w:val="28"/>
      <w:szCs w:val="28"/>
    </w:rPr>
  </w:style>
  <w:style w:type="paragraph" w:styleId="26">
    <w:name w:val="Body Text Indent 2"/>
    <w:basedOn w:val="a"/>
    <w:link w:val="27"/>
    <w:rsid w:val="00C71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C71128"/>
    <w:rPr>
      <w:rFonts w:ascii="Times New Roman" w:eastAsia="Calibri" w:hAnsi="Times New Roman" w:cs="Times New Roman"/>
      <w:sz w:val="24"/>
    </w:rPr>
  </w:style>
  <w:style w:type="character" w:customStyle="1" w:styleId="28">
    <w:name w:val="Основной текст (2)"/>
    <w:basedOn w:val="a0"/>
    <w:link w:val="210"/>
    <w:rsid w:val="00C7112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C71128"/>
    <w:pPr>
      <w:shd w:val="clear" w:color="auto" w:fill="FFFFFF"/>
      <w:spacing w:line="240" w:lineRule="atLeast"/>
    </w:pPr>
    <w:rPr>
      <w:rFonts w:asciiTheme="minorHAnsi" w:hAnsiTheme="minorHAnsi"/>
      <w:sz w:val="28"/>
      <w:szCs w:val="28"/>
    </w:rPr>
  </w:style>
  <w:style w:type="character" w:customStyle="1" w:styleId="51">
    <w:name w:val="Основной текст (5)"/>
    <w:basedOn w:val="a0"/>
    <w:link w:val="510"/>
    <w:rsid w:val="00C71128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C71128"/>
    <w:pPr>
      <w:shd w:val="clear" w:color="auto" w:fill="FFFFFF"/>
      <w:spacing w:line="240" w:lineRule="atLeast"/>
    </w:pPr>
    <w:rPr>
      <w:rFonts w:asciiTheme="minorHAnsi" w:hAnsiTheme="minorHAnsi"/>
      <w:sz w:val="28"/>
      <w:szCs w:val="28"/>
    </w:rPr>
  </w:style>
  <w:style w:type="character" w:customStyle="1" w:styleId="71">
    <w:name w:val="Основной текст (7)"/>
    <w:basedOn w:val="a0"/>
    <w:link w:val="710"/>
    <w:rsid w:val="00C71128"/>
    <w:rPr>
      <w:sz w:val="28"/>
      <w:szCs w:val="28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71128"/>
    <w:pPr>
      <w:shd w:val="clear" w:color="auto" w:fill="FFFFFF"/>
      <w:spacing w:line="479" w:lineRule="exact"/>
      <w:ind w:firstLine="860"/>
    </w:pPr>
    <w:rPr>
      <w:rFonts w:asciiTheme="minorHAnsi" w:hAnsiTheme="minorHAnsi"/>
      <w:sz w:val="28"/>
      <w:szCs w:val="28"/>
    </w:rPr>
  </w:style>
  <w:style w:type="character" w:customStyle="1" w:styleId="712pt1">
    <w:name w:val="Основной текст (7) + 12 pt1"/>
    <w:basedOn w:val="71"/>
    <w:rsid w:val="00C71128"/>
    <w:rPr>
      <w:sz w:val="24"/>
      <w:szCs w:val="24"/>
    </w:rPr>
  </w:style>
  <w:style w:type="character" w:customStyle="1" w:styleId="13">
    <w:name w:val="Основной текст (13)"/>
    <w:basedOn w:val="a0"/>
    <w:link w:val="131"/>
    <w:rsid w:val="00C71128"/>
    <w:rPr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C71128"/>
    <w:pPr>
      <w:shd w:val="clear" w:color="auto" w:fill="FFFFFF"/>
      <w:spacing w:line="508" w:lineRule="exact"/>
      <w:ind w:firstLine="800"/>
    </w:pPr>
    <w:rPr>
      <w:rFonts w:asciiTheme="minorHAnsi" w:hAnsiTheme="minorHAnsi"/>
      <w:i/>
      <w:iCs/>
      <w:sz w:val="28"/>
      <w:szCs w:val="28"/>
    </w:rPr>
  </w:style>
  <w:style w:type="character" w:customStyle="1" w:styleId="130">
    <w:name w:val="Основной текст (13) + Не курсив"/>
    <w:basedOn w:val="13"/>
    <w:rsid w:val="00C71128"/>
  </w:style>
  <w:style w:type="character" w:customStyle="1" w:styleId="132">
    <w:name w:val="Основной текст (13) + Полужирный"/>
    <w:basedOn w:val="13"/>
    <w:rsid w:val="00C71128"/>
    <w:rPr>
      <w:b/>
      <w:bCs/>
    </w:rPr>
  </w:style>
  <w:style w:type="character" w:customStyle="1" w:styleId="aff8">
    <w:name w:val="Основной текст + Курсив"/>
    <w:rsid w:val="00C71128"/>
    <w:rPr>
      <w:rFonts w:ascii="Times New Roman" w:hAnsi="Times New Roman" w:cs="Times New Roman"/>
      <w:i/>
      <w:iCs/>
      <w:sz w:val="28"/>
      <w:szCs w:val="28"/>
    </w:rPr>
  </w:style>
  <w:style w:type="character" w:customStyle="1" w:styleId="14">
    <w:name w:val="Основной текст (14)"/>
    <w:basedOn w:val="a0"/>
    <w:link w:val="141"/>
    <w:rsid w:val="00C71128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71128"/>
    <w:pPr>
      <w:shd w:val="clear" w:color="auto" w:fill="FFFFFF"/>
      <w:spacing w:line="475" w:lineRule="exact"/>
      <w:ind w:hanging="480"/>
    </w:pPr>
    <w:rPr>
      <w:rFonts w:asciiTheme="minorHAnsi" w:hAnsiTheme="minorHAnsi"/>
      <w:sz w:val="28"/>
      <w:szCs w:val="28"/>
    </w:rPr>
  </w:style>
  <w:style w:type="character" w:customStyle="1" w:styleId="56pt">
    <w:name w:val="Основной текст (5) + 6 pt"/>
    <w:aliases w:val="Курсив1"/>
    <w:basedOn w:val="51"/>
    <w:rsid w:val="00C71128"/>
    <w:rPr>
      <w:i/>
      <w:iCs/>
      <w:sz w:val="12"/>
      <w:szCs w:val="12"/>
    </w:rPr>
  </w:style>
  <w:style w:type="character" w:customStyle="1" w:styleId="15">
    <w:name w:val="Основной текст (15)"/>
    <w:basedOn w:val="a0"/>
    <w:link w:val="151"/>
    <w:rsid w:val="00C71128"/>
    <w:rPr>
      <w:sz w:val="28"/>
      <w:szCs w:val="2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C71128"/>
    <w:pPr>
      <w:shd w:val="clear" w:color="auto" w:fill="FFFFFF"/>
      <w:spacing w:before="360" w:line="468" w:lineRule="exact"/>
      <w:ind w:hanging="440"/>
    </w:pPr>
    <w:rPr>
      <w:rFonts w:asciiTheme="minorHAnsi" w:hAnsiTheme="minorHAnsi"/>
      <w:sz w:val="28"/>
      <w:szCs w:val="28"/>
    </w:rPr>
  </w:style>
  <w:style w:type="character" w:customStyle="1" w:styleId="29">
    <w:name w:val="Основной текст (2) + Курсив"/>
    <w:basedOn w:val="28"/>
    <w:rsid w:val="00C71128"/>
    <w:rPr>
      <w:i/>
      <w:iCs/>
    </w:rPr>
  </w:style>
  <w:style w:type="character" w:styleId="aff9">
    <w:name w:val="footnote reference"/>
    <w:basedOn w:val="a0"/>
    <w:uiPriority w:val="99"/>
    <w:semiHidden/>
    <w:unhideWhenUsed/>
    <w:rsid w:val="00830EC1"/>
    <w:rPr>
      <w:vertAlign w:val="superscript"/>
    </w:rPr>
  </w:style>
  <w:style w:type="character" w:styleId="affa">
    <w:name w:val="FollowedHyperlink"/>
    <w:basedOn w:val="a0"/>
    <w:uiPriority w:val="99"/>
    <w:semiHidden/>
    <w:unhideWhenUsed/>
    <w:rsid w:val="00830E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syktsu.ru/vestnik/2005/2005-4/30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buh.ru/document.jsp?ID=1491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buh.ru/document.jsp?ID=1491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92;&#1077;&#1088;&#1072;&#1090;&#1099;\&#1056;&#1072;&#1073;&#1086;&#1090;&#1072;\&#1050;&#1091;&#1088;&#1072;&#1090;&#1086;&#1088;\&#1042;&#1099;&#1087;&#1086;&#1083;&#1085;&#1077;&#1085;&#1086;\&#1044;&#1080;&#1087;&#1083;&#1086;&#1084;&#1099;\&#1053;&#1044;&#1060;&#1051;\&#1044;&#1080;&#1087;&#1083;&#1086;&#1084;\&#1056;&#1072;&#1089;&#1095;&#1077;&#1090;&#1099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92;&#1077;&#1088;&#1072;&#1090;&#1099;\&#1056;&#1072;&#1073;&#1086;&#1090;&#1072;\&#1050;&#1091;&#1088;&#1072;&#1090;&#1086;&#1088;\&#1042;&#1099;&#1087;&#1086;&#1083;&#1085;&#1077;&#1085;&#1086;\&#1044;&#1080;&#1087;&#1083;&#1086;&#1084;&#1099;\&#1053;&#1044;&#1060;&#1051;\&#1044;&#1080;&#1087;&#1083;&#1086;&#1084;\&#1056;&#1072;&#1089;&#1095;&#1077;&#1090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92;&#1077;&#1088;&#1072;&#1090;&#1099;\&#1056;&#1072;&#1073;&#1086;&#1090;&#1072;\&#1050;&#1091;&#1088;&#1072;&#1090;&#1086;&#1088;\&#1042;&#1099;&#1087;&#1086;&#1083;&#1085;&#1077;&#1085;&#1086;\&#1044;&#1080;&#1087;&#1083;&#1086;&#1084;&#1099;\&#1053;&#1044;&#1060;&#1051;\&#1044;&#1080;&#1087;&#1083;&#1086;&#1084;\&#1056;&#1072;&#1089;&#1095;&#1077;&#1090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92;&#1077;&#1088;&#1072;&#1090;&#1099;\&#1056;&#1072;&#1073;&#1086;&#1090;&#1072;\&#1050;&#1091;&#1088;&#1072;&#1090;&#1086;&#1088;\&#1042;&#1099;&#1087;&#1086;&#1083;&#1085;&#1077;&#1085;&#1086;\&#1044;&#1080;&#1087;&#1083;&#1086;&#1084;&#1099;\&#1053;&#1044;&#1060;&#1051;\&#1044;&#1080;&#1087;&#1083;&#1086;&#1084;\&#1056;&#1072;&#1089;&#1095;&#1077;&#1090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8;&#1072;&#1073;&#1086;&#1090;&#1072;\&#1088;&#1077;&#1092;&#1077;&#1088;&#1072;&#1090;&#1099;\&#1084;&#1077;&#1075;&#1077;&#1076;&#1077;&#1082;&#1086;&#1074;&#1072;\&#1088;&#1072;&#1089;&#1095;&#1077;&#1090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8;&#1072;&#1073;&#1086;&#1090;&#1072;\&#1088;&#1077;&#1092;&#1077;&#1088;&#1072;&#1090;&#1099;\&#1084;&#1077;&#1075;&#1077;&#1076;&#1077;&#1082;&#1086;&#1074;&#1072;\&#1088;&#1072;&#1089;&#1095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8;&#1072;&#1073;&#1086;&#1090;&#1072;\&#1088;&#1077;&#1092;&#1077;&#1088;&#1072;&#1090;&#1099;\&#1084;&#1077;&#1075;&#1077;&#1076;&#1077;&#1082;&#1086;&#1074;&#1072;\&#1088;&#1072;&#1089;&#1095;&#1077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8;&#1072;&#1073;&#1086;&#1090;&#1072;\&#1088;&#1077;&#1092;&#1077;&#1088;&#1072;&#1090;&#1099;\&#1084;&#1077;&#1075;&#1077;&#1076;&#1077;&#1082;&#1086;&#1074;&#1072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77877213339652"/>
          <c:y val="6.2052505966587117E-2"/>
          <c:w val="0.67205222641438411"/>
          <c:h val="0.78997613365155162"/>
        </c:manualLayout>
      </c:layout>
      <c:barChart>
        <c:barDir val="col"/>
        <c:grouping val="clustered"/>
        <c:ser>
          <c:idx val="1"/>
          <c:order val="0"/>
          <c:tx>
            <c:strRef>
              <c:f>Лист3!$C$8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Лист3!$B$9</c:f>
              <c:strCache>
                <c:ptCount val="1"/>
                <c:pt idx="0">
                  <c:v>Оборот розничной торговли по крупным и средним предприятиям, тыс. руб.</c:v>
                </c:pt>
              </c:strCache>
            </c:strRef>
          </c:cat>
          <c:val>
            <c:numRef>
              <c:f>Лист3!$C$9</c:f>
              <c:numCache>
                <c:formatCode>General</c:formatCode>
                <c:ptCount val="1"/>
                <c:pt idx="0">
                  <c:v>4193704</c:v>
                </c:pt>
              </c:numCache>
            </c:numRef>
          </c:val>
        </c:ser>
        <c:ser>
          <c:idx val="0"/>
          <c:order val="1"/>
          <c:tx>
            <c:strRef>
              <c:f>Лист3!$D$8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Лист3!$B$9</c:f>
              <c:strCache>
                <c:ptCount val="1"/>
                <c:pt idx="0">
                  <c:v>Оборот розничной торговли по крупным и средним предприятиям, тыс. руб.</c:v>
                </c:pt>
              </c:strCache>
            </c:strRef>
          </c:cat>
          <c:val>
            <c:numRef>
              <c:f>Лист3!$D$9</c:f>
              <c:numCache>
                <c:formatCode>General</c:formatCode>
                <c:ptCount val="1"/>
                <c:pt idx="0">
                  <c:v>1812214</c:v>
                </c:pt>
              </c:numCache>
            </c:numRef>
          </c:val>
        </c:ser>
        <c:ser>
          <c:idx val="2"/>
          <c:order val="2"/>
          <c:tx>
            <c:strRef>
              <c:f>Лист3!$E$8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Лист3!$B$9</c:f>
              <c:strCache>
                <c:ptCount val="1"/>
                <c:pt idx="0">
                  <c:v>Оборот розничной торговли по крупным и средним предприятиям, тыс. руб.</c:v>
                </c:pt>
              </c:strCache>
            </c:strRef>
          </c:cat>
          <c:val>
            <c:numRef>
              <c:f>Лист3!$E$9</c:f>
              <c:numCache>
                <c:formatCode>General</c:formatCode>
                <c:ptCount val="1"/>
                <c:pt idx="0">
                  <c:v>1853203</c:v>
                </c:pt>
              </c:numCache>
            </c:numRef>
          </c:val>
        </c:ser>
        <c:axId val="126121856"/>
        <c:axId val="128026880"/>
      </c:barChart>
      <c:catAx>
        <c:axId val="1261218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026880"/>
        <c:crosses val="autoZero"/>
        <c:auto val="1"/>
        <c:lblAlgn val="ctr"/>
        <c:lblOffset val="100"/>
        <c:tickLblSkip val="1"/>
        <c:tickMarkSkip val="1"/>
      </c:catAx>
      <c:valAx>
        <c:axId val="128026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121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0161030392908"/>
          <c:y val="0.38186157517899938"/>
          <c:w val="0.17447509724219545"/>
          <c:h val="0.1527446300715999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4"/>
      <c:hPercent val="81"/>
      <c:rotY val="3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181102362204728E-2"/>
          <c:y val="1.4084507042253521E-2"/>
          <c:w val="0.76377952755905798"/>
          <c:h val="0.78638497652582162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Лист1!$C$1:$C$3</c:f>
              <c:strCache>
                <c:ptCount val="1"/>
                <c:pt idx="0">
                  <c:v>камеральные проверки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6325377322610747E-2"/>
                  <c:y val="-6.7049258733054257E-2"/>
                </c:manualLayout>
              </c:layout>
              <c:showVal val="1"/>
            </c:dLbl>
            <c:dLbl>
              <c:idx val="1"/>
              <c:layout>
                <c:manualLayout>
                  <c:x val="-9.6588288926764229E-2"/>
                  <c:y val="-4.1402114867597171E-2"/>
                </c:manualLayout>
              </c:layout>
              <c:showVal val="1"/>
            </c:dLbl>
            <c:dLbl>
              <c:idx val="2"/>
              <c:layout>
                <c:manualLayout>
                  <c:x val="-9.2211069467260626E-2"/>
                  <c:y val="-7.2715852287501817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Лист1!$B$4:$B$6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208</c:v>
                </c:pt>
                <c:pt idx="1">
                  <c:v>411</c:v>
                </c:pt>
                <c:pt idx="2">
                  <c:v>617</c:v>
                </c:pt>
              </c:numCache>
            </c:numRef>
          </c:val>
        </c:ser>
        <c:ser>
          <c:idx val="3"/>
          <c:order val="1"/>
          <c:tx>
            <c:strRef>
              <c:f>Лист1!$F$1:$F$3</c:f>
              <c:strCache>
                <c:ptCount val="1"/>
                <c:pt idx="0">
                  <c:v>документальные проверки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439066417738149E-2"/>
                  <c:y val="-0.16591211720230312"/>
                </c:manualLayout>
              </c:layout>
              <c:showVal val="1"/>
            </c:dLbl>
            <c:dLbl>
              <c:idx val="1"/>
              <c:layout>
                <c:manualLayout>
                  <c:x val="-2.2342349251590201E-2"/>
                  <c:y val="-0.18451975823228844"/>
                </c:manualLayout>
              </c:layout>
              <c:showVal val="1"/>
            </c:dLbl>
            <c:dLbl>
              <c:idx val="2"/>
              <c:layout>
                <c:manualLayout>
                  <c:x val="-2.6573471974795641E-2"/>
                  <c:y val="-0.2269842447450582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Лист1!$B$4:$B$6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Лист1!$F$4:$F$6</c:f>
              <c:numCache>
                <c:formatCode>General</c:formatCode>
                <c:ptCount val="3"/>
                <c:pt idx="0">
                  <c:v>817</c:v>
                </c:pt>
                <c:pt idx="1">
                  <c:v>971</c:v>
                </c:pt>
                <c:pt idx="2">
                  <c:v>1314</c:v>
                </c:pt>
              </c:numCache>
            </c:numRef>
          </c:val>
        </c:ser>
        <c:shape val="cone"/>
        <c:axId val="135320704"/>
        <c:axId val="135322624"/>
        <c:axId val="0"/>
      </c:bar3DChart>
      <c:catAx>
        <c:axId val="135320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1299311741101929"/>
              <c:y val="0.7768815503142960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322624"/>
        <c:crosses val="autoZero"/>
        <c:auto val="1"/>
        <c:lblAlgn val="ctr"/>
        <c:lblOffset val="100"/>
        <c:tickLblSkip val="1"/>
        <c:tickMarkSkip val="1"/>
      </c:catAx>
      <c:valAx>
        <c:axId val="135322624"/>
        <c:scaling>
          <c:orientation val="minMax"/>
        </c:scaling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0.85236215254405334"/>
              <c:y val="0.406103301752408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32070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322834645669363"/>
          <c:y val="0.89671352281888561"/>
          <c:w val="0.82677165354331084"/>
          <c:h val="0.1032864771811147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9769056645717"/>
          <c:y val="3.3416875522138691E-3"/>
          <c:w val="0.50590657649275317"/>
          <c:h val="0.87925903998842458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агенты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48.4</c:v>
                </c:pt>
                <c:pt idx="1">
                  <c:v>59.4</c:v>
                </c:pt>
                <c:pt idx="2">
                  <c:v>84.4</c:v>
                </c:pt>
                <c:pt idx="3">
                  <c:v>194.1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FF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7.1</c:v>
                </c:pt>
                <c:pt idx="1">
                  <c:v>8.5</c:v>
                </c:pt>
                <c:pt idx="2">
                  <c:v>25.6</c:v>
                </c:pt>
                <c:pt idx="3">
                  <c:v>4.0999999999999996</c:v>
                </c:pt>
              </c:numCache>
            </c:numRef>
          </c:val>
        </c:ser>
        <c:dLbls>
          <c:showVal val="1"/>
        </c:dLbls>
        <c:shape val="box"/>
        <c:axId val="133849856"/>
        <c:axId val="133851776"/>
        <c:axId val="0"/>
      </c:bar3DChart>
      <c:catAx>
        <c:axId val="1338498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2.1164477588409662E-3"/>
              <c:y val="0.42252038495188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51776"/>
        <c:crosses val="autoZero"/>
        <c:lblAlgn val="ctr"/>
        <c:lblOffset val="100"/>
        <c:tickLblSkip val="1"/>
        <c:tickMarkSkip val="1"/>
      </c:catAx>
      <c:valAx>
        <c:axId val="1338517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49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2013868636790772E-2"/>
          <c:y val="0.91271827863622312"/>
          <c:w val="0.82465284432038743"/>
          <c:h val="7.980055124688365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3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34945403629825"/>
          <c:y val="2.8795811518324697E-2"/>
          <c:w val="0.84018527095877749"/>
          <c:h val="0.735750045844019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Лист1!$A$2:$D$2</c:f>
              <c:strCache>
                <c:ptCount val="1"/>
                <c:pt idx="0">
                  <c:v>  НДФЛ,налоговый агент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FF00FF"/>
              </a:solidFill>
              <a:prstDash val="solid"/>
            </a:ln>
          </c:spPr>
          <c:cat>
            <c:numRef>
              <c:f>Лист1!$A$3:$A$6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21.6</c:v>
                </c:pt>
                <c:pt idx="1">
                  <c:v>28.3</c:v>
                </c:pt>
                <c:pt idx="2">
                  <c:v>11.4</c:v>
                </c:pt>
                <c:pt idx="3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НДФЛ, исчис. налоговыми органами</c:v>
                </c:pt>
              </c:strCache>
            </c:strRef>
          </c:tx>
          <c:cat>
            <c:numRef>
              <c:f>Лист1!$A$3:$A$6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0.70000000000000062</c:v>
                </c:pt>
                <c:pt idx="3">
                  <c:v>21.4</c:v>
                </c:pt>
              </c:numCache>
            </c:numRef>
          </c:val>
        </c:ser>
        <c:shape val="box"/>
        <c:axId val="135379968"/>
        <c:axId val="177300608"/>
        <c:axId val="0"/>
      </c:bar3DChart>
      <c:catAx>
        <c:axId val="13537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2526980423743332"/>
              <c:y val="0.88741366753239559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7300608"/>
        <c:crosses val="autoZero"/>
        <c:lblAlgn val="ctr"/>
        <c:lblOffset val="100"/>
        <c:tickLblSkip val="1"/>
        <c:tickMarkSkip val="1"/>
      </c:catAx>
      <c:valAx>
        <c:axId val="1773006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3.197155911066675E-2"/>
              <c:y val="0.36910994764397931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3799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"/>
          <c:y val="0.90575916230366493"/>
          <c:w val="0.97043276997782413"/>
          <c:h val="9.4240837696335039E-2"/>
        </c:manualLayout>
      </c:layout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84368737475306E-2"/>
          <c:y val="2.2160664819944598E-2"/>
          <c:w val="0.8897795591182367"/>
          <c:h val="0.742382271468144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76692327334681E-2"/>
                  <c:y val="-3.0548568306789679E-2"/>
                </c:manualLayout>
              </c:layout>
              <c:showVal val="1"/>
            </c:dLbl>
            <c:dLbl>
              <c:idx val="1"/>
              <c:layout>
                <c:manualLayout>
                  <c:x val="1.8531606994101828E-2"/>
                  <c:y val="-3.4025724160045595E-2"/>
                </c:manualLayout>
              </c:layout>
              <c:showVal val="1"/>
            </c:dLbl>
            <c:dLbl>
              <c:idx val="2"/>
              <c:layout>
                <c:manualLayout>
                  <c:x val="1.7106498051379856E-2"/>
                  <c:y val="-3.25276421895228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62566</c:v>
                </c:pt>
                <c:pt idx="1">
                  <c:v>59261</c:v>
                </c:pt>
                <c:pt idx="2">
                  <c:v>48726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37228061803283E-2"/>
                  <c:y val="-3.2411491549981582E-2"/>
                </c:manualLayout>
              </c:layout>
              <c:showVal val="1"/>
            </c:dLbl>
            <c:dLbl>
              <c:idx val="1"/>
              <c:layout>
                <c:manualLayout>
                  <c:x val="3.1111445997480003E-2"/>
                  <c:y val="-2.8107029607724401E-2"/>
                </c:manualLayout>
              </c:layout>
              <c:showVal val="1"/>
            </c:dLbl>
            <c:dLbl>
              <c:idx val="2"/>
              <c:layout>
                <c:manualLayout>
                  <c:x val="3.1281233386496583E-2"/>
                  <c:y val="-3.316753957791478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20546</c:v>
                </c:pt>
                <c:pt idx="1">
                  <c:v>26435</c:v>
                </c:pt>
                <c:pt idx="2">
                  <c:v>32065</c:v>
                </c:pt>
              </c:numCache>
            </c:numRef>
          </c:val>
        </c:ser>
        <c:shape val="box"/>
        <c:axId val="135314048"/>
        <c:axId val="177275648"/>
        <c:axId val="0"/>
      </c:bar3DChart>
      <c:catAx>
        <c:axId val="135314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7687397922178354"/>
              <c:y val="0.8529412864487875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275648"/>
        <c:crosses val="autoZero"/>
        <c:auto val="1"/>
        <c:lblAlgn val="ctr"/>
        <c:lblOffset val="100"/>
        <c:tickLblSkip val="1"/>
        <c:tickMarkSkip val="1"/>
      </c:catAx>
      <c:valAx>
        <c:axId val="1772756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314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40663900414957"/>
          <c:y val="2.7777777777777936E-2"/>
          <c:w val="0.82987551867220122"/>
          <c:h val="0.6820987654320988"/>
        </c:manualLayout>
      </c:layout>
      <c:bar3DChart>
        <c:barDir val="bar"/>
        <c:grouping val="stacked"/>
        <c:ser>
          <c:idx val="0"/>
          <c:order val="0"/>
          <c:tx>
            <c:strRef>
              <c:f>Лист1!$B$3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11085</c:v>
                </c:pt>
                <c:pt idx="1">
                  <c:v>10046</c:v>
                </c:pt>
                <c:pt idx="2">
                  <c:v>7820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99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2721</c:v>
                </c:pt>
                <c:pt idx="1">
                  <c:v>3533</c:v>
                </c:pt>
                <c:pt idx="2">
                  <c:v>5204</c:v>
                </c:pt>
              </c:numCache>
            </c:numRef>
          </c:val>
        </c:ser>
        <c:shape val="box"/>
        <c:axId val="177395968"/>
        <c:axId val="179138944"/>
        <c:axId val="0"/>
      </c:bar3DChart>
      <c:catAx>
        <c:axId val="1773959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5.4577324442759784E-2"/>
              <c:y val="0.3902438328139498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138944"/>
        <c:crosses val="autoZero"/>
        <c:auto val="1"/>
        <c:lblAlgn val="ctr"/>
        <c:lblOffset val="100"/>
        <c:tickLblSkip val="1"/>
        <c:tickMarkSkip val="1"/>
      </c:catAx>
      <c:valAx>
        <c:axId val="1791389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0.46302819368585668"/>
              <c:y val="0.8482384565977596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3959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16162989829702"/>
          <c:y val="6.1465862943869458E-2"/>
          <c:w val="0.69466936864948181"/>
          <c:h val="0.832153221393925"/>
        </c:manualLayout>
      </c:layout>
      <c:barChart>
        <c:barDir val="col"/>
        <c:grouping val="clustered"/>
        <c:ser>
          <c:idx val="0"/>
          <c:order val="0"/>
          <c:tx>
            <c:strRef>
              <c:f>Лист3!$C$8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Лист3!$B$10</c:f>
              <c:strCache>
                <c:ptCount val="1"/>
                <c:pt idx="0">
                  <c:v>Оборот предприятий общественного питания, тыс. руб.</c:v>
                </c:pt>
              </c:strCache>
            </c:strRef>
          </c:cat>
          <c:val>
            <c:numRef>
              <c:f>Лист3!$C$10</c:f>
              <c:numCache>
                <c:formatCode>General</c:formatCode>
                <c:ptCount val="1"/>
                <c:pt idx="0">
                  <c:v>40243</c:v>
                </c:pt>
              </c:numCache>
            </c:numRef>
          </c:val>
        </c:ser>
        <c:ser>
          <c:idx val="1"/>
          <c:order val="1"/>
          <c:tx>
            <c:strRef>
              <c:f>Лист3!$D$8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Лист3!$D$10</c:f>
              <c:numCache>
                <c:formatCode>General</c:formatCode>
                <c:ptCount val="1"/>
                <c:pt idx="0">
                  <c:v>31465</c:v>
                </c:pt>
              </c:numCache>
            </c:numRef>
          </c:val>
        </c:ser>
        <c:ser>
          <c:idx val="2"/>
          <c:order val="2"/>
          <c:tx>
            <c:strRef>
              <c:f>Лист3!$E$8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Лист3!$E$10</c:f>
              <c:numCache>
                <c:formatCode>General</c:formatCode>
                <c:ptCount val="1"/>
                <c:pt idx="0">
                  <c:v>35122</c:v>
                </c:pt>
              </c:numCache>
            </c:numRef>
          </c:val>
        </c:ser>
        <c:axId val="129135744"/>
        <c:axId val="129224704"/>
      </c:barChart>
      <c:catAx>
        <c:axId val="129135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224704"/>
        <c:crosses val="autoZero"/>
        <c:auto val="1"/>
        <c:lblAlgn val="ctr"/>
        <c:lblOffset val="100"/>
        <c:tickLblSkip val="1"/>
        <c:tickMarkSkip val="1"/>
      </c:catAx>
      <c:valAx>
        <c:axId val="129224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1357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0161030392908"/>
          <c:y val="0.4018921807868388"/>
          <c:w val="0.17447509724219545"/>
          <c:h val="0.151300585707986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39265021759712"/>
          <c:y val="6.1465862943869458E-2"/>
          <c:w val="0.74959671407757955"/>
          <c:h val="0.832153221393925"/>
        </c:manualLayout>
      </c:layout>
      <c:barChart>
        <c:barDir val="col"/>
        <c:grouping val="clustered"/>
        <c:ser>
          <c:idx val="0"/>
          <c:order val="0"/>
          <c:tx>
            <c:strRef>
              <c:f>Лист3!$C$12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Лист3!$B$13:$B$14</c:f>
              <c:strCache>
                <c:ptCount val="2"/>
                <c:pt idx="0">
                  <c:v>Доля прибыльных предприятий</c:v>
                </c:pt>
                <c:pt idx="1">
                  <c:v>Доля убыточных предприятий</c:v>
                </c:pt>
              </c:strCache>
            </c:strRef>
          </c:cat>
          <c:val>
            <c:numRef>
              <c:f>Лист3!$C$13:$C$14</c:f>
              <c:numCache>
                <c:formatCode>0.0%</c:formatCode>
                <c:ptCount val="2"/>
                <c:pt idx="0">
                  <c:v>0.69599999999999995</c:v>
                </c:pt>
                <c:pt idx="1">
                  <c:v>0.37900000000000089</c:v>
                </c:pt>
              </c:numCache>
            </c:numRef>
          </c:val>
        </c:ser>
        <c:ser>
          <c:idx val="1"/>
          <c:order val="1"/>
          <c:tx>
            <c:strRef>
              <c:f>Лист3!$D$12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Лист3!$B$13:$B$14</c:f>
              <c:strCache>
                <c:ptCount val="2"/>
                <c:pt idx="0">
                  <c:v>Доля прибыльных предприятий</c:v>
                </c:pt>
                <c:pt idx="1">
                  <c:v>Доля убыточных предприятий</c:v>
                </c:pt>
              </c:strCache>
            </c:strRef>
          </c:cat>
          <c:val>
            <c:numRef>
              <c:f>Лист3!$D$13:$D$14</c:f>
              <c:numCache>
                <c:formatCode>0.0%</c:formatCode>
                <c:ptCount val="2"/>
                <c:pt idx="0">
                  <c:v>0.70100000000000062</c:v>
                </c:pt>
                <c:pt idx="1">
                  <c:v>0.33300000000000102</c:v>
                </c:pt>
              </c:numCache>
            </c:numRef>
          </c:val>
        </c:ser>
        <c:ser>
          <c:idx val="2"/>
          <c:order val="2"/>
          <c:tx>
            <c:strRef>
              <c:f>Лист3!$E$12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Лист3!$B$13:$B$14</c:f>
              <c:strCache>
                <c:ptCount val="2"/>
                <c:pt idx="0">
                  <c:v>Доля прибыльных предприятий</c:v>
                </c:pt>
                <c:pt idx="1">
                  <c:v>Доля убыточных предприятий</c:v>
                </c:pt>
              </c:strCache>
            </c:strRef>
          </c:cat>
          <c:val>
            <c:numRef>
              <c:f>Лист3!$E$13:$E$14</c:f>
              <c:numCache>
                <c:formatCode>0.0%</c:formatCode>
                <c:ptCount val="2"/>
                <c:pt idx="0">
                  <c:v>0.72000000000000064</c:v>
                </c:pt>
                <c:pt idx="1">
                  <c:v>0.37900000000000089</c:v>
                </c:pt>
              </c:numCache>
            </c:numRef>
          </c:val>
        </c:ser>
        <c:ser>
          <c:idx val="3"/>
          <c:order val="3"/>
          <c:tx>
            <c:strRef>
              <c:f>Лист3!$F$12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Лист3!$B$13:$B$14</c:f>
              <c:strCache>
                <c:ptCount val="2"/>
                <c:pt idx="0">
                  <c:v>Доля прибыльных предприятий</c:v>
                </c:pt>
                <c:pt idx="1">
                  <c:v>Доля убыточных предприятий</c:v>
                </c:pt>
              </c:strCache>
            </c:strRef>
          </c:cat>
          <c:val>
            <c:numRef>
              <c:f>Лист3!$F$13:$F$14</c:f>
              <c:numCache>
                <c:formatCode>0.0%</c:formatCode>
                <c:ptCount val="2"/>
                <c:pt idx="0" formatCode="0.00%">
                  <c:v>0.62700000000000178</c:v>
                </c:pt>
                <c:pt idx="1">
                  <c:v>0.37300000000000078</c:v>
                </c:pt>
              </c:numCache>
            </c:numRef>
          </c:val>
        </c:ser>
        <c:axId val="129726720"/>
        <c:axId val="132007808"/>
      </c:barChart>
      <c:catAx>
        <c:axId val="1297267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007808"/>
        <c:crosses val="autoZero"/>
        <c:auto val="1"/>
        <c:lblAlgn val="ctr"/>
        <c:lblOffset val="100"/>
        <c:tickLblSkip val="1"/>
        <c:tickMarkSkip val="1"/>
      </c:catAx>
      <c:valAx>
        <c:axId val="132007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726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7599760513266"/>
          <c:y val="0.37825146426996736"/>
          <c:w val="0.11631673149479645"/>
          <c:h val="0.200946090393420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408734325094598"/>
          <c:y val="6.2650676123254104E-2"/>
          <c:w val="0.71890202104422851"/>
          <c:h val="0.78795273431938861"/>
        </c:manualLayout>
      </c:layout>
      <c:barChart>
        <c:barDir val="col"/>
        <c:grouping val="clustered"/>
        <c:ser>
          <c:idx val="0"/>
          <c:order val="0"/>
          <c:tx>
            <c:strRef>
              <c:f>Лист3!$C$15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Лист3!$B$16:$B$17</c:f>
              <c:strCache>
                <c:ptCount val="2"/>
                <c:pt idx="0">
                  <c:v>Кредиторская задолженность, тыс. руб.</c:v>
                </c:pt>
                <c:pt idx="1">
                  <c:v>Дебиторская задолженность, тыс. руб.</c:v>
                </c:pt>
              </c:strCache>
            </c:strRef>
          </c:cat>
          <c:val>
            <c:numRef>
              <c:f>Лист3!$C$16:$C$17</c:f>
              <c:numCache>
                <c:formatCode>General</c:formatCode>
                <c:ptCount val="2"/>
                <c:pt idx="0">
                  <c:v>9976933</c:v>
                </c:pt>
                <c:pt idx="1">
                  <c:v>7343252</c:v>
                </c:pt>
              </c:numCache>
            </c:numRef>
          </c:val>
        </c:ser>
        <c:ser>
          <c:idx val="1"/>
          <c:order val="1"/>
          <c:tx>
            <c:strRef>
              <c:f>Лист3!$D$15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Лист3!$B$16:$B$17</c:f>
              <c:strCache>
                <c:ptCount val="2"/>
                <c:pt idx="0">
                  <c:v>Кредиторская задолженность, тыс. руб.</c:v>
                </c:pt>
                <c:pt idx="1">
                  <c:v>Дебиторская задолженность, тыс. руб.</c:v>
                </c:pt>
              </c:strCache>
            </c:strRef>
          </c:cat>
          <c:val>
            <c:numRef>
              <c:f>Лист3!$D$16:$D$17</c:f>
              <c:numCache>
                <c:formatCode>General</c:formatCode>
                <c:ptCount val="2"/>
                <c:pt idx="0">
                  <c:v>11797588</c:v>
                </c:pt>
                <c:pt idx="1">
                  <c:v>9343705</c:v>
                </c:pt>
              </c:numCache>
            </c:numRef>
          </c:val>
        </c:ser>
        <c:ser>
          <c:idx val="2"/>
          <c:order val="2"/>
          <c:tx>
            <c:strRef>
              <c:f>Лист3!$E$15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Лист3!$E$16:$E$17</c:f>
              <c:numCache>
                <c:formatCode>General</c:formatCode>
                <c:ptCount val="2"/>
                <c:pt idx="0">
                  <c:v>7789402</c:v>
                </c:pt>
                <c:pt idx="1">
                  <c:v>5921488</c:v>
                </c:pt>
              </c:numCache>
            </c:numRef>
          </c:val>
        </c:ser>
        <c:axId val="132572288"/>
        <c:axId val="132574208"/>
      </c:barChart>
      <c:catAx>
        <c:axId val="132572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74208"/>
        <c:crosses val="autoZero"/>
        <c:auto val="1"/>
        <c:lblAlgn val="ctr"/>
        <c:lblOffset val="100"/>
        <c:tickLblSkip val="1"/>
        <c:tickMarkSkip val="1"/>
      </c:catAx>
      <c:valAx>
        <c:axId val="132574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72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7599760513266"/>
          <c:y val="0.38072333951823645"/>
          <c:w val="0.11631673149479645"/>
          <c:h val="0.154217048918779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Социальные вычеты</c:v>
                </c:pt>
              </c:strCache>
            </c:strRef>
          </c:tx>
          <c:dLbls>
            <c:showVal val="1"/>
          </c:dLbls>
          <c:cat>
            <c:numRef>
              <c:f>[Книга1]Лист1!$B$1,[Книга1]Лист1!$D$1,[Книга1]Лист1!$F$1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[Книга1]Лист1!$C$3,[Книга1]Лист1!$E$3,[Книга1]Лист1!$G$3</c:f>
              <c:numCache>
                <c:formatCode>General</c:formatCode>
                <c:ptCount val="3"/>
                <c:pt idx="0">
                  <c:v>12.31</c:v>
                </c:pt>
                <c:pt idx="1">
                  <c:v>13.17</c:v>
                </c:pt>
                <c:pt idx="2">
                  <c:v>12.47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Имущественные вычеты</c:v>
                </c:pt>
              </c:strCache>
            </c:strRef>
          </c:tx>
          <c:dLbls>
            <c:showVal val="1"/>
          </c:dLbls>
          <c:cat>
            <c:numRef>
              <c:f>[Книга1]Лист1!$B$1,[Книга1]Лист1!$D$1,[Книга1]Лист1!$F$1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[Книга1]Лист1!$C$4,[Книга1]Лист1!$E$4,[Книга1]Лист1!$G$4</c:f>
              <c:numCache>
                <c:formatCode>General</c:formatCode>
                <c:ptCount val="3"/>
                <c:pt idx="0">
                  <c:v>83.25</c:v>
                </c:pt>
                <c:pt idx="1">
                  <c:v>83.240000000000023</c:v>
                </c:pt>
                <c:pt idx="2">
                  <c:v>83.89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Профессиональные  вычеты</c:v>
                </c:pt>
              </c:strCache>
            </c:strRef>
          </c:tx>
          <c:dLbls>
            <c:showVal val="1"/>
          </c:dLbls>
          <c:cat>
            <c:numRef>
              <c:f>[Книга1]Лист1!$B$1,[Книга1]Лист1!$D$1,[Книга1]Лист1!$F$1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[Книга1]Лист1!$C$5,[Книга1]Лист1!$E$5,[Книга1]Лист1!$G$5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3.59</c:v>
                </c:pt>
                <c:pt idx="2">
                  <c:v>3.63</c:v>
                </c:pt>
              </c:numCache>
            </c:numRef>
          </c:val>
        </c:ser>
        <c:shape val="cylinder"/>
        <c:axId val="133757568"/>
        <c:axId val="134054272"/>
        <c:axId val="0"/>
      </c:bar3DChart>
      <c:catAx>
        <c:axId val="133757568"/>
        <c:scaling>
          <c:orientation val="minMax"/>
        </c:scaling>
        <c:axPos val="b"/>
        <c:numFmt formatCode="General" sourceLinked="1"/>
        <c:tickLblPos val="nextTo"/>
        <c:crossAx val="134054272"/>
        <c:crosses val="autoZero"/>
        <c:auto val="1"/>
        <c:lblAlgn val="ctr"/>
        <c:lblOffset val="100"/>
      </c:catAx>
      <c:valAx>
        <c:axId val="134054272"/>
        <c:scaling>
          <c:orientation val="minMax"/>
        </c:scaling>
        <c:axPos val="l"/>
        <c:majorGridlines/>
        <c:numFmt formatCode="General" sourceLinked="1"/>
        <c:tickLblPos val="nextTo"/>
        <c:crossAx val="13375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[расчеты.xlsx]Лист2!$B$111,[расчеты.xlsx]Лист2!$B$113,[расчеты.xlsx]Лист2!$B$115,[расчеты.xlsx]Лист2!$B$117,[расчеты.xlsx]Лист2!$B$119</c:f>
              <c:strCache>
                <c:ptCount val="5"/>
                <c:pt idx="0">
                  <c:v>вычеты на обучение детей</c:v>
                </c:pt>
                <c:pt idx="1">
                  <c:v>вычеты на обучение брата (сестры)</c:v>
                </c:pt>
                <c:pt idx="2">
                  <c:v>вычеты на лечение и приобретение медикаментов</c:v>
                </c:pt>
                <c:pt idx="3">
                  <c:v>вычеты на дорогостоящее лечение</c:v>
                </c:pt>
                <c:pt idx="4">
                  <c:v>прочие социальные вычеты</c:v>
                </c:pt>
              </c:strCache>
            </c:strRef>
          </c:cat>
          <c:val>
            <c:numRef>
              <c:f>[расчеты.xlsx]Лист2!$C$111,[расчеты.xlsx]Лист2!$C$113,[расчеты.xlsx]Лист2!$C$115,[расчеты.xlsx]Лист2!$C$117,[расчеты.xlsx]Лист2!$C$119</c:f>
              <c:numCache>
                <c:formatCode>General</c:formatCode>
                <c:ptCount val="5"/>
                <c:pt idx="0">
                  <c:v>3257</c:v>
                </c:pt>
                <c:pt idx="1">
                  <c:v>2981</c:v>
                </c:pt>
                <c:pt idx="2">
                  <c:v>1523</c:v>
                </c:pt>
                <c:pt idx="3">
                  <c:v>459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3197725284424"/>
          <c:y val="3.9363517060367455E-2"/>
          <c:w val="0.33440135608049032"/>
          <c:h val="0.8518285214348214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126749781277335"/>
                  <c:y val="0.37737824438611878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[расчеты.xlsx]Лист2!$B$111,[расчеты.xlsx]Лист2!$B$113,[расчеты.xlsx]Лист2!$B$115,[расчеты.xlsx]Лист2!$B$117,[расчеты.xlsx]Лист2!$B$119</c:f>
              <c:strCache>
                <c:ptCount val="5"/>
                <c:pt idx="0">
                  <c:v>вычеты на обучение детей</c:v>
                </c:pt>
                <c:pt idx="1">
                  <c:v>вычеты на обучение брата (сестры)</c:v>
                </c:pt>
                <c:pt idx="2">
                  <c:v>вычеты на лечение и приобретение медикаментов</c:v>
                </c:pt>
                <c:pt idx="3">
                  <c:v>вычеты на дорогостоящее лечение</c:v>
                </c:pt>
                <c:pt idx="4">
                  <c:v>прочие социальные вычеты</c:v>
                </c:pt>
              </c:strCache>
            </c:strRef>
          </c:cat>
          <c:val>
            <c:numRef>
              <c:f>[расчеты.xlsx]Лист2!$E$111,[расчеты.xlsx]Лист2!$E$113,[расчеты.xlsx]Лист2!$E$115,[расчеты.xlsx]Лист2!$E$117,[расчеты.xlsx]Лист2!$E$119</c:f>
              <c:numCache>
                <c:formatCode>General</c:formatCode>
                <c:ptCount val="5"/>
                <c:pt idx="0">
                  <c:v>5484</c:v>
                </c:pt>
                <c:pt idx="1">
                  <c:v>4184</c:v>
                </c:pt>
                <c:pt idx="2">
                  <c:v>1785</c:v>
                </c:pt>
                <c:pt idx="3">
                  <c:v>298</c:v>
                </c:pt>
                <c:pt idx="4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3197725284424"/>
          <c:y val="0.1088079615048119"/>
          <c:w val="0.33440135608049032"/>
          <c:h val="0.8518285214348214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5070100612423454E-2"/>
                  <c:y val="-0.25097659667541594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[расчеты.xlsx]Лист2!$B$111,[расчеты.xlsx]Лист2!$B$113,[расчеты.xlsx]Лист2!$B$115,[расчеты.xlsx]Лист2!$B$117,[расчеты.xlsx]Лист2!$B$119</c:f>
              <c:strCache>
                <c:ptCount val="5"/>
                <c:pt idx="0">
                  <c:v>вычеты на обучение детей</c:v>
                </c:pt>
                <c:pt idx="1">
                  <c:v>вычеты на обучение брата (сестры)</c:v>
                </c:pt>
                <c:pt idx="2">
                  <c:v>вычеты на лечение и приобретение медикаментов</c:v>
                </c:pt>
                <c:pt idx="3">
                  <c:v>вычеты на дорогостоящее лечение</c:v>
                </c:pt>
                <c:pt idx="4">
                  <c:v>прочие социальные вычеты</c:v>
                </c:pt>
              </c:strCache>
            </c:strRef>
          </c:cat>
          <c:val>
            <c:numRef>
              <c:f>[расчеты.xlsx]Лист2!$G$111,[расчеты.xlsx]Лист2!$G$113,[расчеты.xlsx]Лист2!$G$115,[расчеты.xlsx]Лист2!$G$117,[расчеты.xlsx]Лист2!$G$119</c:f>
              <c:numCache>
                <c:formatCode>General</c:formatCode>
                <c:ptCount val="5"/>
                <c:pt idx="0">
                  <c:v>5564</c:v>
                </c:pt>
                <c:pt idx="1">
                  <c:v>4822</c:v>
                </c:pt>
                <c:pt idx="2">
                  <c:v>1929</c:v>
                </c:pt>
                <c:pt idx="3">
                  <c:v>354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3197725284424"/>
          <c:y val="0.20603018372703447"/>
          <c:w val="0.33440135608049032"/>
          <c:h val="0.7453470399533396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Лист2!$B$135</c:f>
              <c:strCache>
                <c:ptCount val="1"/>
                <c:pt idx="0">
                  <c:v>Социальные вычеты</c:v>
                </c:pt>
              </c:strCache>
            </c:strRef>
          </c:tx>
          <c:dLbls>
            <c:showVal val="1"/>
          </c:dLbls>
          <c:cat>
            <c:numRef>
              <c:f>Лист2!$C$134:$E$134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Лист2!$C$135:$E$135</c:f>
              <c:numCache>
                <c:formatCode>General</c:formatCode>
                <c:ptCount val="3"/>
                <c:pt idx="0">
                  <c:v>8221</c:v>
                </c:pt>
                <c:pt idx="1">
                  <c:v>11761</c:v>
                </c:pt>
                <c:pt idx="2">
                  <c:v>12673</c:v>
                </c:pt>
              </c:numCache>
            </c:numRef>
          </c:val>
        </c:ser>
        <c:ser>
          <c:idx val="1"/>
          <c:order val="1"/>
          <c:tx>
            <c:strRef>
              <c:f>Лист2!$B$136</c:f>
              <c:strCache>
                <c:ptCount val="1"/>
                <c:pt idx="0">
                  <c:v>имущественные вычеты</c:v>
                </c:pt>
              </c:strCache>
            </c:strRef>
          </c:tx>
          <c:dLbls>
            <c:showVal val="1"/>
          </c:dLbls>
          <c:cat>
            <c:numRef>
              <c:f>Лист2!$C$134:$E$134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Лист2!$C$136:$E$136</c:f>
              <c:numCache>
                <c:formatCode>General</c:formatCode>
                <c:ptCount val="3"/>
                <c:pt idx="0">
                  <c:v>71058</c:v>
                </c:pt>
                <c:pt idx="1">
                  <c:v>74534</c:v>
                </c:pt>
                <c:pt idx="2">
                  <c:v>76265</c:v>
                </c:pt>
              </c:numCache>
            </c:numRef>
          </c:val>
        </c:ser>
        <c:ser>
          <c:idx val="2"/>
          <c:order val="2"/>
          <c:tx>
            <c:strRef>
              <c:f>Лист2!$B$137</c:f>
              <c:strCache>
                <c:ptCount val="1"/>
                <c:pt idx="0">
                  <c:v>Профессиональные  вычеты</c:v>
                </c:pt>
              </c:strCache>
            </c:strRef>
          </c:tx>
          <c:dLbls>
            <c:showVal val="1"/>
          </c:dLbls>
          <c:cat>
            <c:numRef>
              <c:f>Лист2!$C$134:$E$134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Лист2!$C$137:$E$137</c:f>
              <c:numCache>
                <c:formatCode>General</c:formatCode>
                <c:ptCount val="3"/>
                <c:pt idx="0">
                  <c:v>117435</c:v>
                </c:pt>
                <c:pt idx="1">
                  <c:v>128132</c:v>
                </c:pt>
                <c:pt idx="2">
                  <c:v>143502</c:v>
                </c:pt>
              </c:numCache>
            </c:numRef>
          </c:val>
        </c:ser>
        <c:shape val="cylinder"/>
        <c:axId val="134148480"/>
        <c:axId val="134150400"/>
        <c:axId val="0"/>
      </c:bar3DChart>
      <c:catAx>
        <c:axId val="134148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34150400"/>
        <c:crosses val="autoZero"/>
        <c:auto val="1"/>
        <c:lblAlgn val="ctr"/>
        <c:lblOffset val="100"/>
      </c:catAx>
      <c:valAx>
        <c:axId val="134150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</c:title>
        <c:numFmt formatCode="General" sourceLinked="1"/>
        <c:tickLblPos val="nextTo"/>
        <c:crossAx val="13414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DDEB-3A14-4CEE-8692-D0019292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51</Pages>
  <Words>10607</Words>
  <Characters>60463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YaKyT</dc:creator>
  <cp:lastModifiedBy>YaKyT</cp:lastModifiedBy>
  <cp:revision>1</cp:revision>
  <dcterms:created xsi:type="dcterms:W3CDTF">2014-12-08T14:57:00Z</dcterms:created>
  <dcterms:modified xsi:type="dcterms:W3CDTF">2014-12-08T15:32:00Z</dcterms:modified>
</cp:coreProperties>
</file>