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Приведем пример заполнения дневника учебной практики для студентов бухгалтерских и экономических специальностей.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rFonts w:ascii="Roboto" w:cs="Roboto" w:eastAsia="Roboto" w:hAnsi="Roboto"/>
          <w:b w:val="1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4"/>
          <w:szCs w:val="24"/>
          <w:rtl w:val="0"/>
        </w:rPr>
        <w:t xml:space="preserve">Дневник прохождения учебной практики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студентом ____курса ____________________________________ факультета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___________________________________________________________( ф.и.о.)</w:t>
      </w:r>
    </w:p>
    <w:tbl>
      <w:tblPr>
        <w:tblStyle w:val="Table1"/>
        <w:tblW w:w="975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1410"/>
        <w:gridCol w:w="5670"/>
        <w:gridCol w:w="1965"/>
        <w:tblGridChange w:id="0">
          <w:tblGrid>
            <w:gridCol w:w="705"/>
            <w:gridCol w:w="1410"/>
            <w:gridCol w:w="5670"/>
            <w:gridCol w:w="1965"/>
          </w:tblGrid>
        </w:tblGridChange>
      </w:tblGrid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Nova Mono" w:cs="Nova Mono" w:eastAsia="Nova Mono" w:hAnsi="Nova Mono"/>
                <w:color w:val="21212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6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Краткое описание выполненной работы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Место работы (занимаемая должность)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13.06.2016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 Вводная лекция.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16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14.06.2016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 Получение индивидуального задания на учебную практику.</w:t>
            </w:r>
          </w:p>
          <w:p w:rsidR="00000000" w:rsidDel="00000000" w:rsidP="00000000" w:rsidRDefault="00000000" w:rsidRPr="00000000" w14:paraId="00000011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 Знакомство с предприятием. Изучение документов, регулирующих деятельность предприятия.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Бухгалтерия (экономист)</w:t>
            </w:r>
          </w:p>
        </w:tc>
      </w:tr>
      <w:tr>
        <w:trPr>
          <w:trHeight w:val="13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15.06.2016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 Составление плана работы. Консультации с руководителем практики.</w:t>
            </w:r>
          </w:p>
          <w:p w:rsidR="00000000" w:rsidDel="00000000" w:rsidP="00000000" w:rsidRDefault="00000000" w:rsidRPr="00000000" w14:paraId="00000016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 Знакомство с предприятием. Изучение особенностей функционирования организации.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Бухгалтерия (экономист)</w:t>
            </w:r>
          </w:p>
        </w:tc>
      </w:tr>
      <w:tr>
        <w:trPr>
          <w:trHeight w:val="13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16.06.2016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 Работа с первоисточниками.</w:t>
            </w:r>
          </w:p>
          <w:p w:rsidR="00000000" w:rsidDel="00000000" w:rsidP="00000000" w:rsidRDefault="00000000" w:rsidRPr="00000000" w14:paraId="0000001B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 Знакомство с предприятием. Знакомство с экономической политикой предприятия. Анализ уставного капитала предприятия.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Бухгалтерия (экономист)</w:t>
            </w:r>
          </w:p>
        </w:tc>
      </w:tr>
      <w:tr>
        <w:trPr>
          <w:trHeight w:val="13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17.06.2016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 Сбор статистического материала.</w:t>
            </w:r>
          </w:p>
          <w:p w:rsidR="00000000" w:rsidDel="00000000" w:rsidP="00000000" w:rsidRDefault="00000000" w:rsidRPr="00000000" w14:paraId="00000020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 Знакомство с предприятием. Изучение финансового баланса предприятия за прошлый месяц.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Бухгалтерия (экономист)</w:t>
            </w:r>
          </w:p>
        </w:tc>
      </w:tr>
      <w:tr>
        <w:trPr>
          <w:trHeight w:val="16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20.06.2016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 Анализ и обобщение  теоретического и статистического материала.</w:t>
            </w:r>
          </w:p>
          <w:p w:rsidR="00000000" w:rsidDel="00000000" w:rsidP="00000000" w:rsidRDefault="00000000" w:rsidRPr="00000000" w14:paraId="00000025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 Знакомство с предприятием. Исследование финансовой устойчивости, определение типа устойчивости.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Бухгалтерия (экономист)</w:t>
            </w:r>
          </w:p>
        </w:tc>
      </w:tr>
      <w:tr>
        <w:trPr>
          <w:trHeight w:val="16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21.06.2016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 Анализ и обобщение  теоретического и статистического материала.</w:t>
            </w:r>
          </w:p>
          <w:p w:rsidR="00000000" w:rsidDel="00000000" w:rsidP="00000000" w:rsidRDefault="00000000" w:rsidRPr="00000000" w14:paraId="0000002A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 Знакомство с программным обеспечением организации. Изучение электронного оборота организации: 1С, СБИС.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Бухгалтерия (экономист)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22.06.2016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 Анализ и обобщение  теоретического и статистического материала.</w:t>
            </w:r>
          </w:p>
          <w:p w:rsidR="00000000" w:rsidDel="00000000" w:rsidP="00000000" w:rsidRDefault="00000000" w:rsidRPr="00000000" w14:paraId="0000002F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 Бухгалтерская отчетность. Учет денежных средств. Учет расчетов с поставщиками и подрядчиками, покупателями и заказчиками, подотчетными лицами, разными дебиторами и кредиторами.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Бухгалтерия (экономист)</w:t>
            </w:r>
          </w:p>
        </w:tc>
      </w:tr>
      <w:tr>
        <w:trPr>
          <w:trHeight w:val="16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23.06.2016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1. Анализ и обобщение  теоретического и статистического материала.</w:t>
            </w:r>
          </w:p>
          <w:p w:rsidR="00000000" w:rsidDel="00000000" w:rsidP="00000000" w:rsidRDefault="00000000" w:rsidRPr="00000000" w14:paraId="00000034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 Бухгалтерская отчетность. Учет расчетов с бюджетом и внебюджетными фондами. Учет расчетов с персоналом по оплате труда.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Бухгалтерия (экономист)</w:t>
            </w:r>
          </w:p>
        </w:tc>
      </w:tr>
      <w:tr>
        <w:trPr>
          <w:trHeight w:val="16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24.06.2016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Оформление отчета. Подготовка презентации по отчету.</w:t>
            </w:r>
          </w:p>
          <w:p w:rsidR="00000000" w:rsidDel="00000000" w:rsidP="00000000" w:rsidRDefault="00000000" w:rsidRPr="00000000" w14:paraId="00000039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2. Бухгалтерская отчетность. Учет нематериальных активов. Учет основных средств. Учет заемных средств.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Бухгалтерия (экономист)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25.06.2016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Завершение написание отчета и формирования пакета документов.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rFonts w:ascii="Roboto" w:cs="Roboto" w:eastAsia="Roboto" w:hAnsi="Roboto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121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F">
      <w:pPr>
        <w:shd w:fill="ffffff" w:val="clear"/>
        <w:spacing w:after="1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Студент__________________________________________________(ф.и.о.)________________(подпись)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  <w:rtl w:val="0"/>
        </w:rPr>
        <w:t xml:space="preserve">Новый дневник и отчет по учебной практике на заказ и в любое удобное для вас время!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